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R4-2514272</w:t>
      </w:r>
      <w:bookmarkStart w:id="461" w:name="_GoBack"/>
      <w:bookmarkEnd w:id="461"/>
      <w:r>
        <w:rPr>
          <w:rFonts w:hint="eastAsia" w:ascii="Arial" w:hAnsi="Arial" w:cs="Arial"/>
          <w:b/>
          <w:sz w:val="24"/>
          <w:szCs w:val="24"/>
        </w:rPr>
        <w:t xml:space="preserve">                        </w:t>
      </w:r>
    </w:p>
    <w:p w14:paraId="7BB6C930">
      <w:pPr>
        <w:pStyle w:val="97"/>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p w14:paraId="7D4A6525">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6.8.4.2.2</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the applicability improvement of TRP measurement</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59"/>
        <w:tabs>
          <w:tab w:val="left" w:pos="567"/>
          <w:tab w:val="clear" w:pos="1985"/>
        </w:tabs>
        <w:adjustRightInd w:val="0"/>
        <w:ind w:left="510" w:hanging="510"/>
      </w:pPr>
      <w:r>
        <w:t>Introduction</w:t>
      </w:r>
    </w:p>
    <w:p w14:paraId="66D50419">
      <w:pPr>
        <w:tabs>
          <w:tab w:val="left" w:pos="2127"/>
        </w:tabs>
        <w:spacing w:after="0"/>
      </w:pPr>
      <w:r>
        <w:rPr>
          <w:rFonts w:hint="eastAsia"/>
        </w:rPr>
        <w:t>In the RAN#103 meeting, new WID for Rel-19 BS RF evolution has been approved and it</w:t>
      </w:r>
      <w:r>
        <w:t>’</w:t>
      </w:r>
      <w:r>
        <w:rPr>
          <w:rFonts w:hint="eastAsia"/>
        </w:rPr>
        <w:t>s expected to start the normative work from this April meeting. For the applicability improvement of TRP in Annex, it was agreed to have some clarifications for it to avoid the confusion outside of 3GPP especially.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14786EC">
            <w:pPr>
              <w:rPr>
                <w:color w:val="0070C0"/>
                <w:lang w:val="en-US" w:eastAsia="zh-CN"/>
              </w:rPr>
            </w:pPr>
            <w:r>
              <w:rPr>
                <w:rFonts w:hint="eastAsia"/>
                <w:b/>
                <w:bCs/>
                <w:iCs/>
                <w:color w:val="0070C0"/>
                <w:lang w:val="en-US" w:eastAsia="zh-CN"/>
              </w:rPr>
              <w:t>Issue 2-2: Procedure wise clarification for different TRP measurement</w:t>
            </w:r>
          </w:p>
          <w:p w14:paraId="1D0983D4">
            <w:pPr>
              <w:rPr>
                <w:lang w:val="en-US" w:eastAsia="zh-CN"/>
              </w:rPr>
            </w:pPr>
            <w:r>
              <w:rPr>
                <w:rFonts w:hint="eastAsia" w:eastAsia="宋体"/>
                <w:color w:val="0070C0"/>
                <w:szCs w:val="24"/>
                <w:lang w:val="en-US" w:eastAsia="zh-CN"/>
              </w:rPr>
              <w:t>Agreem</w:t>
            </w:r>
            <w:r>
              <w:rPr>
                <w:rFonts w:hint="eastAsia" w:ascii="Times New Roman" w:hAnsi="Times New Roman" w:eastAsia="宋体" w:cs="Times New Roman"/>
                <w:color w:val="0070C0"/>
                <w:szCs w:val="24"/>
                <w:lang w:val="en-US" w:eastAsia="zh-CN"/>
              </w:rPr>
              <w:t xml:space="preserve">ent for test method/ sampling grid simplification:  </w:t>
            </w:r>
          </w:p>
          <w:p w14:paraId="41B628A9">
            <w:pPr>
              <w:pStyle w:val="38"/>
              <w:numPr>
                <w:ilvl w:val="1"/>
                <w:numId w:val="4"/>
              </w:numPr>
              <w:overflowPunct/>
              <w:autoSpaceDE/>
              <w:autoSpaceDN/>
              <w:adjustRightInd/>
              <w:spacing w:after="120"/>
              <w:ind w:left="1440" w:firstLineChars="0"/>
              <w:textAlignment w:val="auto"/>
              <w:rPr>
                <w:lang w:val="en-US" w:eastAsia="zh-CN"/>
              </w:rPr>
            </w:pPr>
            <w:r>
              <w:rPr>
                <w:rFonts w:hint="eastAsia"/>
                <w:iCs/>
                <w:color w:val="0070C0"/>
                <w:lang w:val="en-US" w:eastAsia="zh-CN"/>
              </w:rPr>
              <w:t xml:space="preserve">To </w:t>
            </w:r>
            <w:r>
              <w:rPr>
                <w:rFonts w:hint="eastAsia" w:eastAsia="宋体"/>
                <w:color w:val="0070C0"/>
                <w:lang w:val="en-US" w:eastAsia="zh-CN"/>
              </w:rPr>
              <w:t>follow the previous RAN4 agreement in RAN4#114 meeting</w:t>
            </w:r>
            <w:r>
              <w:rPr>
                <w:rFonts w:eastAsia="宋体"/>
                <w:color w:val="0070C0"/>
                <w:lang w:val="en-US" w:eastAsia="zh-CN"/>
              </w:rPr>
              <w:t>: to</w:t>
            </w:r>
            <w:r>
              <w:rPr>
                <w:rFonts w:hint="eastAsia"/>
                <w:iCs/>
                <w:color w:val="0070C0"/>
                <w:lang w:val="en-US" w:eastAsia="zh-CN"/>
              </w:rPr>
              <w:t xml:space="preserve"> keep the current TRP testing method, TRP sampling grid and testing chamber in the specification</w:t>
            </w:r>
          </w:p>
          <w:p w14:paraId="3AD94500">
            <w:pPr>
              <w:rPr>
                <w:color w:val="0070C0"/>
                <w:lang w:val="en-US" w:eastAsia="zh-CN"/>
              </w:rPr>
            </w:pPr>
            <w:r>
              <w:rPr>
                <w:rFonts w:hint="eastAsia" w:eastAsia="宋体"/>
                <w:color w:val="0070C0"/>
                <w:szCs w:val="24"/>
                <w:lang w:val="en-US" w:eastAsia="zh-CN"/>
              </w:rPr>
              <w:t>Agree</w:t>
            </w:r>
            <w:r>
              <w:rPr>
                <w:rFonts w:hint="eastAsia" w:ascii="Times New Roman" w:hAnsi="Times New Roman" w:eastAsia="宋体" w:cs="Times New Roman"/>
                <w:color w:val="0070C0"/>
                <w:szCs w:val="24"/>
                <w:lang w:val="en-US" w:eastAsia="zh-CN"/>
              </w:rPr>
              <w:t xml:space="preserve">ment for applicability for different requirement:  </w:t>
            </w:r>
          </w:p>
          <w:p w14:paraId="64CFE9CE">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For OTA base station output power, ACLR and operating band unwanted emissions, use the following option 1 as starting point. </w:t>
            </w:r>
          </w:p>
          <w:p w14:paraId="1D9D3622">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Option 1: </w:t>
            </w:r>
          </w:p>
          <w:p w14:paraId="310B463C">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Step 1: [Orthogonal cut grid] (two-cuts and optional three cuts) as described in annex I.5 or Beam-based directions as described in annex I.10 may be performed if chosen for the test, go to step 2 </w:t>
            </w:r>
            <w:r>
              <w:rPr>
                <w:rFonts w:eastAsia="宋体"/>
                <w:color w:val="0070C0"/>
                <w:highlight w:val="none"/>
                <w:lang w:val="en-US" w:eastAsia="zh-CN"/>
              </w:rPr>
              <w:t>if this step is not chosen</w:t>
            </w:r>
            <w:r>
              <w:rPr>
                <w:rFonts w:hint="eastAsia" w:eastAsia="宋体"/>
                <w:color w:val="0070C0"/>
                <w:highlight w:val="none"/>
                <w:lang w:val="en-US" w:eastAsia="zh-CN"/>
              </w:rPr>
              <w:t xml:space="preserve"> or </w:t>
            </w:r>
            <w:r>
              <w:rPr>
                <w:rFonts w:eastAsia="宋体"/>
                <w:color w:val="0070C0"/>
                <w:highlight w:val="none"/>
                <w:lang w:val="en-US" w:eastAsia="zh-CN"/>
              </w:rPr>
              <w:t>the BS under test fails the test in this step</w:t>
            </w:r>
            <w:r>
              <w:rPr>
                <w:rFonts w:hint="eastAsia" w:eastAsia="宋体"/>
                <w:color w:val="0070C0"/>
                <w:highlight w:val="none"/>
                <w:lang w:val="en-US" w:eastAsia="zh-CN"/>
              </w:rPr>
              <w:t>.</w:t>
            </w:r>
          </w:p>
          <w:p w14:paraId="4540A50D">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One of the TRP measurement procedure as described in annex I.2 to I.9 except annex I.5 shall be performed for the test.</w:t>
            </w:r>
          </w:p>
          <w:p w14:paraId="36A334F1">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For OTA base station spurious emission, use the option 1 as starting point</w:t>
            </w:r>
          </w:p>
          <w:p w14:paraId="07324855">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Option 1:</w:t>
            </w:r>
          </w:p>
          <w:p w14:paraId="011E4CB6">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1: Pre-scan as described in annex I.13</w:t>
            </w:r>
            <w:r>
              <w:rPr>
                <w:rFonts w:eastAsia="宋体"/>
                <w:color w:val="0070C0"/>
                <w:highlight w:val="none"/>
                <w:lang w:val="en-US" w:eastAsia="zh-CN"/>
              </w:rPr>
              <w:t xml:space="preserve"> if chosen for the test,</w:t>
            </w:r>
            <w:r>
              <w:rPr>
                <w:rFonts w:hint="eastAsia" w:eastAsia="宋体"/>
                <w:color w:val="0070C0"/>
                <w:highlight w:val="none"/>
                <w:lang w:val="en-US" w:eastAsia="zh-CN"/>
              </w:rPr>
              <w:t xml:space="preserve"> go to step 2 </w:t>
            </w:r>
            <w:r>
              <w:rPr>
                <w:rFonts w:eastAsia="宋体"/>
                <w:color w:val="0070C0"/>
                <w:highlight w:val="none"/>
                <w:lang w:val="en-US" w:eastAsia="zh-CN"/>
              </w:rPr>
              <w:t>if this step is not chosen</w:t>
            </w:r>
            <w:r>
              <w:rPr>
                <w:rFonts w:hint="eastAsia" w:eastAsia="宋体"/>
                <w:color w:val="0070C0"/>
                <w:highlight w:val="none"/>
                <w:lang w:val="en-US" w:eastAsia="zh-CN"/>
              </w:rPr>
              <w:t>.</w:t>
            </w:r>
          </w:p>
          <w:p w14:paraId="0F3B3E64">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[Orthogonal cut grid] (two-cuts and optional three cuts) as described in annex I.5 or Peak method as described in annex I.11 or Equal sector with peak average as described in annex I.12 may be performed if chosen for the test, go to step 3 if this step is not chosen or the BS under test fails the test in this step.</w:t>
            </w:r>
          </w:p>
          <w:p w14:paraId="5F452E87">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3: One of the TRP measurement procedure as described in annex I.2 to I.9 except annex I.5 shall be performed for the test.</w:t>
            </w:r>
          </w:p>
          <w:p w14:paraId="2982EEC3">
            <w:pPr>
              <w:pStyle w:val="38"/>
              <w:overflowPunct/>
              <w:autoSpaceDE/>
              <w:autoSpaceDN/>
              <w:adjustRightInd/>
              <w:spacing w:after="120"/>
              <w:ind w:firstLine="0" w:firstLineChars="0"/>
              <w:textAlignment w:val="auto"/>
              <w:rPr>
                <w:rFonts w:eastAsia="宋体"/>
                <w:color w:val="0070C0"/>
                <w:lang w:val="en-US" w:eastAsia="zh-CN"/>
              </w:rPr>
            </w:pPr>
          </w:p>
          <w:p w14:paraId="7966128E">
            <w:pPr>
              <w:rPr>
                <w:lang w:val="en-US"/>
              </w:rPr>
            </w:pPr>
            <w:r>
              <w:rPr>
                <w:rFonts w:hint="eastAsia"/>
                <w:b/>
                <w:bCs/>
                <w:iCs/>
                <w:color w:val="0070C0"/>
                <w:lang w:val="en-US" w:eastAsia="zh-CN"/>
              </w:rPr>
              <w:t>Issue 2-3:  the improvement of Pres-scan approach</w:t>
            </w:r>
          </w:p>
          <w:p w14:paraId="328CD885">
            <w:pPr>
              <w:rPr>
                <w:lang w:val="en-US" w:eastAsia="zh-CN"/>
              </w:rPr>
            </w:pPr>
            <w:r>
              <w:rPr>
                <w:rFonts w:hint="eastAsia" w:eastAsia="宋体"/>
                <w:color w:val="0070C0"/>
                <w:szCs w:val="24"/>
                <w:lang w:val="en-US" w:eastAsia="zh-CN"/>
              </w:rPr>
              <w:t>Agreement</w:t>
            </w:r>
            <w:r>
              <w:rPr>
                <w:rFonts w:hint="eastAsia"/>
                <w:lang w:val="en-US" w:eastAsia="zh-CN"/>
              </w:rPr>
              <w:t>:</w:t>
            </w:r>
          </w:p>
          <w:p w14:paraId="40342A1B">
            <w:pPr>
              <w:pStyle w:val="38"/>
              <w:numPr>
                <w:ilvl w:val="1"/>
                <w:numId w:val="4"/>
              </w:numPr>
              <w:overflowPunct/>
              <w:autoSpaceDE/>
              <w:autoSpaceDN/>
              <w:adjustRightInd/>
              <w:spacing w:after="120"/>
              <w:ind w:left="1440" w:firstLineChars="0"/>
              <w:textAlignment w:val="auto"/>
              <w:rPr>
                <w:rFonts w:hint="eastAsia" w:ascii="Times New Roman" w:hAnsi="Times New Roman" w:eastAsia="宋体" w:cs="Times New Roman"/>
                <w:color w:val="0070C0"/>
                <w:highlight w:val="none"/>
                <w:lang w:val="en-US" w:eastAsia="zh-CN"/>
              </w:rPr>
            </w:pPr>
            <w:r>
              <w:rPr>
                <w:rFonts w:hint="eastAsia" w:ascii="Times New Roman" w:hAnsi="Times New Roman" w:eastAsia="宋体" w:cs="Times New Roman"/>
                <w:color w:val="0070C0"/>
                <w:highlight w:val="none"/>
                <w:lang w:val="en-US" w:eastAsia="zh-CN"/>
              </w:rPr>
              <w:t xml:space="preserve">Encourage companies to provide the draft CR focusing on how to improve the test procedures for Pre-scan approach next meeting and further discuss the improvement based on draft CR directly. </w:t>
            </w:r>
          </w:p>
          <w:p w14:paraId="3AC8097A">
            <w:pPr>
              <w:rPr>
                <w:lang w:val="en-US"/>
              </w:rPr>
            </w:pPr>
            <w:r>
              <w:rPr>
                <w:rFonts w:hint="eastAsia"/>
                <w:b/>
                <w:bCs/>
                <w:iCs/>
                <w:color w:val="0070C0"/>
                <w:lang w:val="en-US" w:eastAsia="zh-CN"/>
              </w:rPr>
              <w:t>Issue 2-4:  TRP uncertainty</w:t>
            </w:r>
          </w:p>
          <w:p w14:paraId="03C4DD71">
            <w:pPr>
              <w:rPr>
                <w:lang w:val="en-US" w:eastAsia="zh-CN"/>
              </w:rPr>
            </w:pPr>
            <w:r>
              <w:rPr>
                <w:rFonts w:hint="eastAsia" w:eastAsia="宋体"/>
                <w:color w:val="0070C0"/>
                <w:szCs w:val="24"/>
                <w:lang w:val="en-US" w:eastAsia="zh-CN"/>
              </w:rPr>
              <w:t>Agreement</w:t>
            </w:r>
            <w:r>
              <w:rPr>
                <w:rFonts w:hint="eastAsia"/>
                <w:lang w:val="en-US" w:eastAsia="zh-CN"/>
              </w:rPr>
              <w:t>:</w:t>
            </w:r>
          </w:p>
          <w:p w14:paraId="40754C2D">
            <w:pPr>
              <w:pStyle w:val="38"/>
              <w:numPr>
                <w:ilvl w:val="1"/>
                <w:numId w:val="4"/>
              </w:numPr>
              <w:overflowPunct/>
              <w:autoSpaceDE/>
              <w:autoSpaceDN/>
              <w:adjustRightInd/>
              <w:spacing w:after="120"/>
              <w:ind w:left="1440" w:firstLineChars="0"/>
              <w:textAlignment w:val="auto"/>
            </w:pPr>
            <w:r>
              <w:rPr>
                <w:rFonts w:hint="eastAsia" w:ascii="Times New Roman" w:hAnsi="Times New Roman" w:eastAsia="宋体" w:cs="Times New Roman"/>
                <w:color w:val="0070C0"/>
                <w:highlight w:val="none"/>
                <w:lang w:val="en-US" w:eastAsia="zh-CN"/>
              </w:rPr>
              <w:t xml:space="preserve">To follow the previous RAN4 agreement in RAN4#114 meeting. </w:t>
            </w:r>
          </w:p>
          <w:p w14:paraId="3807F228">
            <w:pPr>
              <w:pStyle w:val="38"/>
              <w:widowControl w:val="0"/>
              <w:numPr>
                <w:ilvl w:val="0"/>
                <w:numId w:val="0"/>
              </w:numPr>
              <w:overflowPunct/>
              <w:autoSpaceDE/>
              <w:autoSpaceDN/>
              <w:adjustRightInd/>
              <w:spacing w:after="120" w:line="259" w:lineRule="auto"/>
              <w:jc w:val="both"/>
              <w:textAlignment w:val="auto"/>
              <w:rPr>
                <w:rFonts w:hint="default" w:ascii="Times New Roman" w:hAnsi="Times New Roman" w:eastAsia="宋体" w:cs="Times New Roman"/>
                <w:color w:val="0070C0"/>
                <w:highlight w:val="none"/>
                <w:lang w:val="en-US" w:eastAsia="zh-CN"/>
              </w:rPr>
            </w:pPr>
            <w:r>
              <w:rPr>
                <w:rFonts w:hint="eastAsia" w:cs="Times New Roman"/>
                <w:color w:val="0070C0"/>
                <w:highlight w:val="none"/>
                <w:lang w:val="en-US" w:eastAsia="zh-CN"/>
              </w:rPr>
              <w:t>RAN4#115</w:t>
            </w:r>
          </w:p>
          <w:p w14:paraId="06B1A865">
            <w:pPr>
              <w:rPr>
                <w:rFonts w:hint="default" w:ascii="Times New Roman" w:hAnsi="Times New Roman" w:cs="Times New Roman"/>
                <w:sz w:val="20"/>
                <w:szCs w:val="20"/>
                <w:highlight w:val="none"/>
                <w:lang w:val="en-US"/>
              </w:rPr>
            </w:pPr>
            <w:r>
              <w:rPr>
                <w:rFonts w:hint="eastAsia"/>
                <w:b/>
                <w:bCs/>
                <w:iCs/>
                <w:color w:val="0070C0"/>
                <w:highlight w:val="none"/>
                <w:lang w:val="en-US" w:eastAsia="zh-CN"/>
              </w:rPr>
              <w:t xml:space="preserve">Issue 2-2: Reference method and preferred method </w:t>
            </w:r>
          </w:p>
          <w:p w14:paraId="77324732">
            <w:pPr>
              <w:pStyle w:val="38"/>
              <w:numPr>
                <w:ilvl w:val="0"/>
                <w:numId w:val="4"/>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 Agreement: </w:t>
            </w:r>
          </w:p>
          <w:p w14:paraId="5E54AC94">
            <w:pPr>
              <w:pStyle w:val="38"/>
              <w:numPr>
                <w:ilvl w:val="2"/>
                <w:numId w:val="4"/>
              </w:numPr>
              <w:overflowPunct/>
              <w:autoSpaceDE/>
              <w:autoSpaceDN/>
              <w:adjustRightInd/>
              <w:spacing w:after="120"/>
              <w:ind w:left="1860" w:firstLineChars="0"/>
              <w:textAlignment w:val="auto"/>
              <w:rPr>
                <w:rFonts w:hint="eastAsia"/>
                <w:iCs/>
                <w:color w:val="0070C0"/>
                <w:lang w:val="en-US" w:eastAsia="zh-CN"/>
              </w:rPr>
            </w:pPr>
            <w:r>
              <w:rPr>
                <w:rFonts w:hint="eastAsia"/>
                <w:iCs/>
                <w:color w:val="0070C0"/>
                <w:lang w:val="en-US" w:eastAsia="zh-CN"/>
              </w:rPr>
              <w:t>Further discuss TRP estimation simplifications and the applicability improvements on TRP sampling grid</w:t>
            </w:r>
          </w:p>
          <w:p w14:paraId="250031E6">
            <w:pPr>
              <w:pStyle w:val="38"/>
              <w:numPr>
                <w:ilvl w:val="2"/>
                <w:numId w:val="4"/>
              </w:numPr>
              <w:overflowPunct/>
              <w:autoSpaceDE/>
              <w:autoSpaceDN/>
              <w:adjustRightInd/>
              <w:spacing w:after="120"/>
              <w:ind w:left="1860" w:firstLineChars="0"/>
              <w:textAlignment w:val="auto"/>
              <w:rPr>
                <w:rFonts w:hint="eastAsia" w:ascii="Times New Roman" w:hAnsi="Times New Roman" w:eastAsia="宋体" w:cs="Times New Roman"/>
                <w:color w:val="0070C0"/>
                <w:highlight w:val="none"/>
                <w:lang w:val="en-US" w:eastAsia="zh-CN"/>
              </w:rPr>
            </w:pPr>
            <w:r>
              <w:rPr>
                <w:rFonts w:hint="eastAsia"/>
                <w:iCs/>
                <w:color w:val="0070C0"/>
                <w:lang w:val="en-US" w:eastAsia="zh-CN"/>
              </w:rPr>
              <w:t xml:space="preserve">FFS on how to </w:t>
            </w:r>
            <w:r>
              <w:rPr>
                <w:iCs/>
                <w:color w:val="0070C0"/>
                <w:lang w:val="en-US" w:eastAsia="zh-CN"/>
              </w:rPr>
              <w:t>incorporate the</w:t>
            </w:r>
            <w:r>
              <w:rPr>
                <w:rFonts w:hint="eastAsia"/>
                <w:iCs/>
                <w:color w:val="0070C0"/>
                <w:lang w:val="en-US" w:eastAsia="zh-CN"/>
              </w:rPr>
              <w:t xml:space="preserve"> OTA chamber related issues</w:t>
            </w:r>
            <w:r>
              <w:rPr>
                <w:iCs/>
                <w:color w:val="0070C0"/>
                <w:lang w:val="en-US" w:eastAsia="zh-CN"/>
              </w:rPr>
              <w:t xml:space="preserve"> into the discussion on the reference test method</w:t>
            </w:r>
            <w:r>
              <w:rPr>
                <w:rFonts w:hint="eastAsia"/>
                <w:iCs/>
                <w:color w:val="0070C0"/>
                <w:lang w:val="en-US" w:eastAsia="zh-CN"/>
              </w:rPr>
              <w:t>.</w:t>
            </w:r>
          </w:p>
          <w:p w14:paraId="6352252B">
            <w:pPr>
              <w:pStyle w:val="38"/>
              <w:numPr>
                <w:ilvl w:val="0"/>
                <w:numId w:val="0"/>
              </w:numPr>
              <w:overflowPunct/>
              <w:autoSpaceDE/>
              <w:autoSpaceDN/>
              <w:adjustRightInd/>
              <w:spacing w:after="120"/>
              <w:textAlignment w:val="auto"/>
              <w:rPr>
                <w:rFonts w:hint="eastAsia"/>
                <w:iCs/>
                <w:color w:val="0070C0"/>
                <w:lang w:val="en-US" w:eastAsia="zh-CN"/>
              </w:rPr>
            </w:pPr>
          </w:p>
          <w:p w14:paraId="52A717FB">
            <w:pPr>
              <w:rPr>
                <w:lang w:val="en-US"/>
              </w:rPr>
            </w:pPr>
            <w:r>
              <w:rPr>
                <w:rFonts w:hint="eastAsia"/>
                <w:b/>
                <w:bCs/>
                <w:iCs/>
                <w:color w:val="0070C0"/>
                <w:lang w:val="en-US" w:eastAsia="zh-CN"/>
              </w:rPr>
              <w:t xml:space="preserve">Issue 2-2: Reference method and preferred method </w:t>
            </w:r>
          </w:p>
          <w:p w14:paraId="6F4FCF66">
            <w:pPr>
              <w:pStyle w:val="38"/>
              <w:numPr>
                <w:ilvl w:val="0"/>
                <w:numId w:val="4"/>
              </w:numPr>
              <w:overflowPunct/>
              <w:autoSpaceDE/>
              <w:autoSpaceDN/>
              <w:adjustRightInd/>
              <w:spacing w:after="120"/>
              <w:ind w:left="720" w:firstLineChars="0"/>
              <w:textAlignment w:val="auto"/>
              <w:rPr>
                <w:rFonts w:eastAsia="宋体"/>
                <w:color w:val="0070C0"/>
                <w:lang w:val="en-US" w:eastAsia="zh-CN"/>
              </w:rPr>
            </w:pPr>
            <w:r>
              <w:rPr>
                <w:rFonts w:hint="eastAsia" w:eastAsia="宋体"/>
                <w:color w:val="0070C0"/>
                <w:szCs w:val="24"/>
                <w:lang w:val="en-US" w:eastAsia="zh-CN"/>
              </w:rPr>
              <w:t xml:space="preserve"> Agreement: </w:t>
            </w:r>
          </w:p>
          <w:p w14:paraId="23E1720E">
            <w:pPr>
              <w:pStyle w:val="38"/>
              <w:numPr>
                <w:ilvl w:val="2"/>
                <w:numId w:val="5"/>
              </w:numPr>
              <w:overflowPunct/>
              <w:autoSpaceDE/>
              <w:autoSpaceDN/>
              <w:adjustRightInd/>
              <w:spacing w:after="120"/>
              <w:ind w:firstLineChars="0"/>
              <w:textAlignment w:val="auto"/>
              <w:rPr>
                <w:iCs/>
                <w:color w:val="0070C0"/>
                <w:lang w:val="en-US" w:eastAsia="zh-CN"/>
              </w:rPr>
            </w:pPr>
            <w:r>
              <w:rPr>
                <w:rFonts w:hint="eastAsia"/>
                <w:iCs/>
                <w:color w:val="0070C0"/>
                <w:lang w:val="en-US" w:eastAsia="zh-CN"/>
              </w:rPr>
              <w:t>The anechoic chamber</w:t>
            </w:r>
            <w:r>
              <w:rPr>
                <w:iCs/>
                <w:color w:val="0070C0"/>
                <w:lang w:val="en-US" w:eastAsia="zh-CN"/>
              </w:rPr>
              <w:t xml:space="preserve"> to be clarified as the preferred test method for TRP measurements (as the </w:t>
            </w:r>
            <w:r>
              <w:rPr>
                <w:rFonts w:hint="eastAsia" w:eastAsia="宋体"/>
                <w:color w:val="0070C0"/>
                <w:lang w:val="en-US" w:eastAsia="zh-CN"/>
              </w:rPr>
              <w:t>reverberation</w:t>
            </w:r>
            <w:r>
              <w:rPr>
                <w:iCs/>
                <w:color w:val="0070C0"/>
                <w:lang w:val="en-US" w:eastAsia="zh-CN"/>
              </w:rPr>
              <w:t xml:space="preserve"> chamber is already considered as the alternative test method)</w:t>
            </w:r>
            <w:r>
              <w:rPr>
                <w:rFonts w:hint="eastAsia"/>
                <w:iCs/>
                <w:color w:val="0070C0"/>
                <w:lang w:val="en-US" w:eastAsia="zh-CN"/>
              </w:rPr>
              <w:t>;</w:t>
            </w:r>
            <w:r>
              <w:rPr>
                <w:iCs/>
                <w:color w:val="0070C0"/>
                <w:lang w:val="en-US" w:eastAsia="zh-CN"/>
              </w:rPr>
              <w:t xml:space="preserve"> </w:t>
            </w:r>
          </w:p>
          <w:p w14:paraId="4DAC1BD6">
            <w:pPr>
              <w:pStyle w:val="38"/>
              <w:numPr>
                <w:ilvl w:val="3"/>
                <w:numId w:val="5"/>
              </w:numPr>
              <w:overflowPunct/>
              <w:autoSpaceDE/>
              <w:autoSpaceDN/>
              <w:adjustRightInd/>
              <w:spacing w:after="120"/>
              <w:ind w:firstLineChars="0"/>
              <w:textAlignment w:val="auto"/>
              <w:rPr>
                <w:iCs/>
                <w:color w:val="0070C0"/>
                <w:highlight w:val="none"/>
                <w:lang w:val="en-US" w:eastAsia="zh-CN"/>
              </w:rPr>
            </w:pPr>
            <w:r>
              <w:rPr>
                <w:iCs/>
                <w:color w:val="0070C0"/>
                <w:highlight w:val="none"/>
                <w:lang w:val="en-US" w:eastAsia="zh-CN"/>
              </w:rPr>
              <w:t xml:space="preserve">Further discuss whether the “preferred” terminology is the right one. </w:t>
            </w:r>
          </w:p>
          <w:p w14:paraId="5C41ECA0">
            <w:pPr>
              <w:pStyle w:val="38"/>
              <w:numPr>
                <w:ilvl w:val="3"/>
                <w:numId w:val="5"/>
              </w:numPr>
              <w:overflowPunct/>
              <w:autoSpaceDE/>
              <w:autoSpaceDN/>
              <w:adjustRightInd/>
              <w:spacing w:after="120"/>
              <w:ind w:left="3096" w:hanging="360" w:firstLineChars="0"/>
              <w:textAlignment w:val="auto"/>
              <w:rPr>
                <w:iCs/>
                <w:color w:val="0070C0"/>
                <w:highlight w:val="none"/>
                <w:lang w:val="en-US" w:eastAsia="zh-CN"/>
              </w:rPr>
            </w:pPr>
            <w:r>
              <w:rPr>
                <w:iCs/>
                <w:color w:val="0070C0"/>
                <w:highlight w:val="none"/>
                <w:lang w:val="en-US" w:eastAsia="zh-CN"/>
              </w:rPr>
              <w:t>Further work on CR to TR 37.941 to clarify definition of the anechoic chamber.</w:t>
            </w:r>
          </w:p>
          <w:p w14:paraId="735F8CD3">
            <w:pPr>
              <w:pStyle w:val="38"/>
              <w:numPr>
                <w:ilvl w:val="2"/>
                <w:numId w:val="5"/>
              </w:numPr>
              <w:overflowPunct/>
              <w:autoSpaceDE/>
              <w:autoSpaceDN/>
              <w:adjustRightInd/>
              <w:spacing w:after="120"/>
              <w:ind w:firstLineChars="0"/>
              <w:textAlignment w:val="auto"/>
              <w:rPr>
                <w:iCs/>
                <w:color w:val="0070C0"/>
                <w:lang w:val="en-US" w:eastAsia="zh-CN"/>
              </w:rPr>
            </w:pPr>
            <w:r>
              <w:rPr>
                <w:rFonts w:eastAsia="宋体"/>
                <w:color w:val="0070C0"/>
                <w:lang w:val="en-US" w:eastAsia="zh-CN"/>
              </w:rPr>
              <w:t xml:space="preserve">Enhancements to the Annex I (TRP sampling grids) to be further detailed to address </w:t>
            </w:r>
            <w:r>
              <w:rPr>
                <w:rFonts w:hint="eastAsia" w:eastAsia="宋体"/>
                <w:color w:val="0070C0"/>
                <w:lang w:val="en-US" w:eastAsia="zh-CN"/>
              </w:rPr>
              <w:t>Spherical Equal Angle Grid</w:t>
            </w:r>
            <w:r>
              <w:rPr>
                <w:iCs/>
                <w:color w:val="0070C0"/>
                <w:lang w:val="en-US" w:eastAsia="zh-CN"/>
              </w:rPr>
              <w:t>; related modifications to Annex I to be merged with the above chamber modifications in sub-bullet a.</w:t>
            </w:r>
          </w:p>
          <w:p w14:paraId="6CF8A5C2">
            <w:pPr>
              <w:pStyle w:val="38"/>
              <w:numPr>
                <w:ilvl w:val="3"/>
                <w:numId w:val="5"/>
              </w:numPr>
              <w:overflowPunct/>
              <w:autoSpaceDE/>
              <w:autoSpaceDN/>
              <w:adjustRightInd/>
              <w:spacing w:after="120"/>
              <w:ind w:firstLineChars="0"/>
              <w:textAlignment w:val="auto"/>
              <w:rPr>
                <w:iCs/>
                <w:color w:val="0070C0"/>
                <w:highlight w:val="none"/>
                <w:lang w:val="en-US" w:eastAsia="zh-CN"/>
              </w:rPr>
            </w:pPr>
            <w:r>
              <w:rPr>
                <w:iCs/>
                <w:color w:val="0070C0"/>
                <w:highlight w:val="none"/>
                <w:lang w:val="en-US" w:eastAsia="zh-CN"/>
              </w:rPr>
              <w:t xml:space="preserve">Further discuss whether the “reference” terminology is the right one. </w:t>
            </w:r>
          </w:p>
          <w:p w14:paraId="6A2C5717">
            <w:pPr>
              <w:pStyle w:val="38"/>
              <w:numPr>
                <w:ilvl w:val="0"/>
                <w:numId w:val="0"/>
              </w:numPr>
              <w:overflowPunct/>
              <w:autoSpaceDE/>
              <w:autoSpaceDN/>
              <w:adjustRightInd/>
              <w:spacing w:after="120"/>
              <w:textAlignment w:val="auto"/>
              <w:rPr>
                <w:rFonts w:hint="eastAsia"/>
                <w:iCs/>
                <w:color w:val="0070C0"/>
                <w:lang w:val="en-US" w:eastAsia="zh-CN"/>
              </w:rPr>
            </w:pPr>
          </w:p>
        </w:tc>
      </w:tr>
    </w:tbl>
    <w:p w14:paraId="6E3C31A5">
      <w:pPr>
        <w:pStyle w:val="59"/>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rPr>
        <w:t>Discussion</w:t>
      </w:r>
      <w:r>
        <w:rPr>
          <w:rFonts w:hint="eastAsia" w:eastAsia="Times New Roman"/>
        </w:rPr>
        <w:t xml:space="preserve"> </w:t>
      </w:r>
    </w:p>
    <w:p w14:paraId="2BC19F87">
      <w:pPr>
        <w:rPr>
          <w:rFonts w:hint="default"/>
          <w:b/>
          <w:bCs/>
          <w:lang w:val="en-US" w:eastAsia="zh-CN"/>
        </w:rPr>
      </w:pPr>
      <w:r>
        <w:rPr>
          <w:rFonts w:hint="eastAsia"/>
          <w:lang w:val="en-US" w:eastAsia="zh-CN"/>
        </w:rPr>
        <w:t>In the last RAN4 meeting, there were some discussions on the definition for anechoic chamber, as captured in TR 37.941, the anechoic chamer should include all of the following chamber instead of precluding any of them.</w:t>
      </w:r>
    </w:p>
    <w:p w14:paraId="666E6C9E">
      <w:r>
        <w:drawing>
          <wp:inline distT="0" distB="0" distL="114300" distR="114300">
            <wp:extent cx="5619750" cy="201930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5619750" cy="2019300"/>
                    </a:xfrm>
                    <a:prstGeom prst="rect">
                      <a:avLst/>
                    </a:prstGeom>
                    <a:noFill/>
                    <a:ln>
                      <a:noFill/>
                    </a:ln>
                  </pic:spPr>
                </pic:pic>
              </a:graphicData>
            </a:graphic>
          </wp:inline>
        </w:drawing>
      </w:r>
    </w:p>
    <w:p w14:paraId="07262B54">
      <w:pPr>
        <w:rPr>
          <w:rFonts w:hint="eastAsia"/>
          <w:lang w:val="en-US" w:eastAsia="zh-CN"/>
        </w:rPr>
      </w:pPr>
      <w:r>
        <w:rPr>
          <w:rFonts w:hint="eastAsia"/>
          <w:b/>
          <w:bCs/>
          <w:lang w:val="en-US" w:eastAsia="zh-CN"/>
        </w:rPr>
        <w:t>Proposal 1</w:t>
      </w:r>
      <w:r>
        <w:rPr>
          <w:rFonts w:hint="eastAsia"/>
          <w:lang w:val="en-US" w:eastAsia="zh-CN"/>
        </w:rPr>
        <w:t>: For the definition of anechoic chamber, it should include the following chamber defined in TR 37.941:</w:t>
      </w:r>
    </w:p>
    <w:p w14:paraId="0E41A96E">
      <w:pPr>
        <w:numPr>
          <w:ilvl w:val="0"/>
          <w:numId w:val="6"/>
        </w:numPr>
        <w:ind w:left="420" w:leftChars="0" w:hanging="420" w:firstLineChars="0"/>
        <w:rPr>
          <w:rFonts w:hint="eastAsia"/>
          <w:lang w:val="en-US" w:eastAsia="zh-CN"/>
        </w:rPr>
      </w:pPr>
      <w:r>
        <w:rPr>
          <w:rFonts w:hint="eastAsia"/>
          <w:lang w:val="en-US" w:eastAsia="zh-CN"/>
        </w:rPr>
        <w:t>Indoor Anechoic Chamber</w:t>
      </w:r>
    </w:p>
    <w:p w14:paraId="4BC404A2">
      <w:pPr>
        <w:numPr>
          <w:ilvl w:val="0"/>
          <w:numId w:val="6"/>
        </w:numPr>
        <w:ind w:left="420" w:leftChars="0" w:hanging="420" w:firstLineChars="0"/>
        <w:rPr>
          <w:rFonts w:hint="eastAsia"/>
          <w:lang w:val="en-US" w:eastAsia="zh-CN"/>
        </w:rPr>
      </w:pPr>
      <w:r>
        <w:rPr>
          <w:rFonts w:hint="eastAsia"/>
          <w:lang w:val="en-US" w:eastAsia="zh-CN"/>
        </w:rPr>
        <w:t>Compact Antenna Test Range</w:t>
      </w:r>
    </w:p>
    <w:p w14:paraId="14CE2B3E">
      <w:pPr>
        <w:numPr>
          <w:ilvl w:val="0"/>
          <w:numId w:val="6"/>
        </w:numPr>
        <w:ind w:left="420" w:leftChars="0" w:hanging="420" w:firstLineChars="0"/>
        <w:rPr>
          <w:rFonts w:hint="eastAsia"/>
          <w:lang w:val="en-US" w:eastAsia="zh-CN"/>
        </w:rPr>
      </w:pPr>
      <w:r>
        <w:rPr>
          <w:rFonts w:hint="eastAsia"/>
          <w:lang w:val="en-US" w:eastAsia="zh-CN"/>
        </w:rPr>
        <w:t>Near Field Test Range</w:t>
      </w:r>
    </w:p>
    <w:p w14:paraId="08864915">
      <w:pPr>
        <w:numPr>
          <w:ilvl w:val="0"/>
          <w:numId w:val="6"/>
        </w:numPr>
        <w:ind w:left="420" w:leftChars="0" w:hanging="420" w:firstLineChars="0"/>
        <w:rPr>
          <w:rFonts w:hint="eastAsia"/>
          <w:lang w:val="en-US" w:eastAsia="zh-CN"/>
        </w:rPr>
      </w:pPr>
      <w:r>
        <w:rPr>
          <w:rFonts w:hint="eastAsia"/>
          <w:lang w:val="en-US" w:eastAsia="zh-CN"/>
        </w:rPr>
        <w:t>One Dimensional Compact Range</w:t>
      </w:r>
    </w:p>
    <w:p w14:paraId="2AEB1458">
      <w:pPr>
        <w:numPr>
          <w:ilvl w:val="0"/>
          <w:numId w:val="6"/>
        </w:numPr>
        <w:ind w:left="420" w:leftChars="0" w:hanging="420" w:firstLineChars="0"/>
        <w:rPr>
          <w:rFonts w:hint="eastAsia"/>
          <w:lang w:val="en-US" w:eastAsia="zh-CN"/>
        </w:rPr>
      </w:pPr>
      <w:r>
        <w:rPr>
          <w:rFonts w:hint="eastAsia"/>
          <w:lang w:val="en-US" w:eastAsia="zh-CN"/>
        </w:rPr>
        <w:t>General Chamber</w:t>
      </w:r>
    </w:p>
    <w:p w14:paraId="65E5C7EC">
      <w:pPr>
        <w:numPr>
          <w:ilvl w:val="0"/>
          <w:numId w:val="6"/>
        </w:numPr>
        <w:ind w:left="420" w:leftChars="0" w:hanging="420" w:firstLineChars="0"/>
        <w:rPr>
          <w:rFonts w:hint="eastAsia"/>
          <w:lang w:val="en-US" w:eastAsia="zh-CN"/>
        </w:rPr>
      </w:pPr>
      <w:r>
        <w:rPr>
          <w:rFonts w:hint="eastAsia"/>
          <w:lang w:val="en-US" w:eastAsia="zh-CN"/>
        </w:rPr>
        <w:t>Reverberation Chamber</w:t>
      </w:r>
    </w:p>
    <w:p w14:paraId="03C79564">
      <w:pPr>
        <w:numPr>
          <w:ilvl w:val="0"/>
          <w:numId w:val="6"/>
        </w:numPr>
        <w:ind w:left="420" w:leftChars="0" w:hanging="420" w:firstLineChars="0"/>
        <w:rPr>
          <w:rFonts w:hint="default"/>
          <w:lang w:val="en-US" w:eastAsia="zh-CN"/>
        </w:rPr>
      </w:pPr>
      <w:r>
        <w:rPr>
          <w:rFonts w:hint="eastAsia"/>
          <w:lang w:val="en-US" w:eastAsia="zh-CN"/>
        </w:rPr>
        <w:t xml:space="preserve">Plane Wave Synthesizer </w:t>
      </w:r>
    </w:p>
    <w:p w14:paraId="45346634">
      <w:pPr>
        <w:rPr>
          <w:rFonts w:hint="eastAsia"/>
          <w:lang w:val="en-US" w:eastAsia="zh-CN"/>
        </w:rPr>
      </w:pPr>
      <w:r>
        <w:rPr>
          <w:rFonts w:hint="eastAsia"/>
          <w:lang w:val="en-US" w:eastAsia="zh-CN"/>
        </w:rPr>
        <w:t xml:space="preserve">In addition, as summarized in [7], for the different TRP based radiated RF requirements, there are different applicable anechoic chamber for different RF requirements. If we want to select the preferred anechoic chamber for each requirement, there might be two potential concerns; </w:t>
      </w:r>
    </w:p>
    <w:p w14:paraId="1FF00556">
      <w:pPr>
        <w:numPr>
          <w:ilvl w:val="0"/>
          <w:numId w:val="7"/>
        </w:numPr>
        <w:rPr>
          <w:rFonts w:hint="default"/>
          <w:lang w:val="en-US" w:eastAsia="zh-CN"/>
        </w:rPr>
      </w:pPr>
      <w:r>
        <w:rPr>
          <w:rFonts w:hint="eastAsia"/>
          <w:lang w:val="en-US" w:eastAsia="zh-CN"/>
        </w:rPr>
        <w:t>It is very difficult to discuss the anechoic chamber without the participation of testing vendors and also difficult to draw the conclusion due to the difference preference regardless from the innovation for testing or available chamber for the conformance testing;</w:t>
      </w:r>
    </w:p>
    <w:p w14:paraId="58218B67">
      <w:pPr>
        <w:numPr>
          <w:ilvl w:val="0"/>
          <w:numId w:val="7"/>
        </w:numPr>
        <w:rPr>
          <w:rFonts w:hint="default"/>
          <w:lang w:val="en-US" w:eastAsia="zh-CN"/>
        </w:rPr>
      </w:pPr>
      <w:r>
        <w:rPr>
          <w:rFonts w:hint="eastAsia"/>
          <w:lang w:val="en-US" w:eastAsia="zh-CN"/>
        </w:rPr>
        <w:t xml:space="preserve">If 3GPP recommend the different anochic chamber for different RF requirements, it will also cause the confusion that BS type 1-O/2-O will be tested under the different chamber which will also cause lots of additional burdens and cost. </w:t>
      </w:r>
    </w:p>
    <w:p w14:paraId="21793AD4">
      <w:pPr>
        <w:numPr>
          <w:ilvl w:val="0"/>
          <w:numId w:val="0"/>
        </w:numPr>
        <w:rPr>
          <w:rFonts w:hint="default"/>
          <w:lang w:val="en-US" w:eastAsia="zh-CN"/>
        </w:rPr>
      </w:pPr>
      <w:r>
        <w:rPr>
          <w:rFonts w:hint="eastAsia"/>
          <w:b/>
          <w:bCs/>
          <w:lang w:val="en-US" w:eastAsia="zh-CN"/>
        </w:rPr>
        <w:t>Proposal 2:</w:t>
      </w:r>
      <w:r>
        <w:rPr>
          <w:rFonts w:hint="eastAsia"/>
          <w:lang w:val="en-US" w:eastAsia="zh-CN"/>
        </w:rPr>
        <w:t xml:space="preserve"> Propose not to define the preferred anechoic chamber for different TRP based radiated RF requirements;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151"/>
        <w:gridCol w:w="1151"/>
        <w:gridCol w:w="1163"/>
        <w:gridCol w:w="895"/>
        <w:gridCol w:w="1433"/>
        <w:gridCol w:w="1245"/>
        <w:gridCol w:w="1447"/>
        <w:gridCol w:w="1050"/>
      </w:tblGrid>
      <w:tr w14:paraId="28E3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578" w:type="dxa"/>
            <w:gridSpan w:val="2"/>
            <w:vMerge w:val="restart"/>
            <w:vAlign w:val="center"/>
          </w:tcPr>
          <w:p w14:paraId="41BE2F6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8384" w:type="dxa"/>
            <w:gridSpan w:val="7"/>
            <w:vAlign w:val="center"/>
          </w:tcPr>
          <w:p w14:paraId="382CC73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default" w:eastAsia="宋体"/>
                <w:b/>
                <w:bCs/>
                <w:color w:val="000000"/>
                <w:kern w:val="2"/>
                <w:sz w:val="18"/>
                <w:szCs w:val="18"/>
                <w:highlight w:val="none"/>
                <w:lang w:val="en-US" w:eastAsia="zh-CN"/>
              </w:rPr>
            </w:pPr>
            <w:r>
              <w:rPr>
                <w:rFonts w:hint="eastAsia"/>
                <w:b/>
                <w:bCs/>
                <w:color w:val="000000"/>
                <w:kern w:val="2"/>
                <w:sz w:val="18"/>
                <w:szCs w:val="18"/>
                <w:highlight w:val="none"/>
              </w:rPr>
              <w:t>Chamber type</w:t>
            </w:r>
            <w:r>
              <w:rPr>
                <w:rFonts w:hint="eastAsia"/>
                <w:b/>
                <w:bCs/>
                <w:color w:val="000000"/>
                <w:kern w:val="2"/>
                <w:sz w:val="18"/>
                <w:szCs w:val="18"/>
                <w:highlight w:val="none"/>
                <w:lang w:val="en-US" w:eastAsia="zh-CN"/>
              </w:rPr>
              <w:t xml:space="preserve"> [7]</w:t>
            </w:r>
          </w:p>
        </w:tc>
      </w:tr>
      <w:tr w14:paraId="5913F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578" w:type="dxa"/>
            <w:gridSpan w:val="2"/>
            <w:vMerge w:val="continue"/>
            <w:vAlign w:val="center"/>
          </w:tcPr>
          <w:p w14:paraId="44B7FE2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619E759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b/>
                <w:bCs/>
                <w:color w:val="000000"/>
                <w:kern w:val="2"/>
                <w:sz w:val="18"/>
                <w:szCs w:val="18"/>
                <w:highlight w:val="none"/>
              </w:rPr>
              <w:t>Indoor Anechoic Chamber</w:t>
            </w:r>
          </w:p>
        </w:tc>
        <w:tc>
          <w:tcPr>
            <w:tcW w:w="0" w:type="auto"/>
            <w:vAlign w:val="center"/>
          </w:tcPr>
          <w:p w14:paraId="1711DDA7">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b/>
                <w:bCs/>
                <w:color w:val="000000"/>
                <w:kern w:val="2"/>
                <w:sz w:val="18"/>
                <w:szCs w:val="18"/>
                <w:highlight w:val="none"/>
              </w:rPr>
              <w:t>Compact Antenna Test Range</w:t>
            </w:r>
          </w:p>
        </w:tc>
        <w:tc>
          <w:tcPr>
            <w:tcW w:w="0" w:type="auto"/>
            <w:vAlign w:val="center"/>
          </w:tcPr>
          <w:p w14:paraId="2371013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b/>
                <w:bCs/>
                <w:color w:val="000000"/>
                <w:kern w:val="2"/>
                <w:sz w:val="18"/>
                <w:szCs w:val="18"/>
                <w:highlight w:val="none"/>
              </w:rPr>
              <w:t>Near Field Test Range</w:t>
            </w:r>
          </w:p>
        </w:tc>
        <w:tc>
          <w:tcPr>
            <w:tcW w:w="0" w:type="auto"/>
            <w:vAlign w:val="center"/>
          </w:tcPr>
          <w:p w14:paraId="4147B77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b/>
                <w:bCs/>
                <w:color w:val="000000"/>
                <w:kern w:val="2"/>
                <w:sz w:val="18"/>
                <w:szCs w:val="18"/>
                <w:highlight w:val="none"/>
              </w:rPr>
              <w:t>One Dimensional Compact Range</w:t>
            </w:r>
          </w:p>
        </w:tc>
        <w:tc>
          <w:tcPr>
            <w:tcW w:w="0" w:type="auto"/>
            <w:vAlign w:val="center"/>
          </w:tcPr>
          <w:p w14:paraId="775694C4">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b/>
                <w:bCs/>
                <w:color w:val="000000"/>
                <w:kern w:val="2"/>
                <w:sz w:val="18"/>
                <w:szCs w:val="18"/>
                <w:highlight w:val="none"/>
              </w:rPr>
              <w:t>Plane Wave Synthesiser</w:t>
            </w:r>
          </w:p>
        </w:tc>
        <w:tc>
          <w:tcPr>
            <w:tcW w:w="0" w:type="auto"/>
            <w:vAlign w:val="center"/>
          </w:tcPr>
          <w:p w14:paraId="4F960E0D">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b/>
                <w:bCs/>
                <w:color w:val="000000"/>
                <w:kern w:val="2"/>
                <w:sz w:val="18"/>
                <w:szCs w:val="18"/>
                <w:highlight w:val="none"/>
              </w:rPr>
              <w:t>Reverberation Chamber</w:t>
            </w:r>
          </w:p>
        </w:tc>
        <w:tc>
          <w:tcPr>
            <w:tcW w:w="0" w:type="auto"/>
            <w:vAlign w:val="center"/>
          </w:tcPr>
          <w:p w14:paraId="4AA5E37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b/>
                <w:bCs/>
                <w:color w:val="000000"/>
                <w:kern w:val="2"/>
                <w:sz w:val="18"/>
                <w:szCs w:val="18"/>
                <w:highlight w:val="none"/>
              </w:rPr>
              <w:t>General Chamber</w:t>
            </w:r>
          </w:p>
        </w:tc>
      </w:tr>
      <w:tr w14:paraId="7D9F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restart"/>
            <w:vAlign w:val="center"/>
          </w:tcPr>
          <w:p w14:paraId="6F14B69F">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r>
              <w:rPr>
                <w:rFonts w:hint="eastAsia"/>
                <w:color w:val="000000"/>
                <w:kern w:val="2"/>
                <w:sz w:val="18"/>
                <w:szCs w:val="18"/>
                <w:highlight w:val="none"/>
              </w:rPr>
              <w:t>Tx</w:t>
            </w:r>
          </w:p>
        </w:tc>
        <w:tc>
          <w:tcPr>
            <w:tcW w:w="1151" w:type="dxa"/>
            <w:vAlign w:val="center"/>
          </w:tcPr>
          <w:p w14:paraId="08AEEAD9">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kern w:val="2"/>
                <w:sz w:val="18"/>
                <w:szCs w:val="18"/>
                <w:highlight w:val="none"/>
                <w:lang w:eastAsia="zh-CN"/>
              </w:rPr>
            </w:pPr>
            <w:r>
              <w:rPr>
                <w:rFonts w:hint="eastAsia"/>
                <w:color w:val="000000"/>
                <w:kern w:val="2"/>
                <w:sz w:val="18"/>
                <w:szCs w:val="18"/>
                <w:highlight w:val="none"/>
              </w:rPr>
              <w:t>EIRP - Normal conditions</w:t>
            </w:r>
          </w:p>
        </w:tc>
        <w:tc>
          <w:tcPr>
            <w:tcW w:w="1151" w:type="dxa"/>
            <w:vAlign w:val="center"/>
          </w:tcPr>
          <w:p w14:paraId="39744EB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3DFB973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77E42A29">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07324E4D">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2FF2869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06210AB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3CA413F9">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r>
      <w:tr w14:paraId="3AFD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5A81411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2BABF6A3">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kern w:val="2"/>
                <w:sz w:val="18"/>
                <w:szCs w:val="18"/>
                <w:highlight w:val="none"/>
                <w:lang w:eastAsia="zh-CN"/>
              </w:rPr>
            </w:pPr>
            <w:r>
              <w:rPr>
                <w:rFonts w:hint="eastAsia"/>
                <w:color w:val="000000"/>
                <w:kern w:val="2"/>
                <w:sz w:val="18"/>
                <w:szCs w:val="18"/>
                <w:highlight w:val="none"/>
              </w:rPr>
              <w:t>EIRP - Extreme conditions</w:t>
            </w:r>
          </w:p>
        </w:tc>
        <w:tc>
          <w:tcPr>
            <w:tcW w:w="1151" w:type="dxa"/>
            <w:vAlign w:val="center"/>
          </w:tcPr>
          <w:p w14:paraId="7F21A3C7">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4894FDF5">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16DF72CD">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1543F14D">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6A8CCDB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36BDE9C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2EBD9B5B">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r>
      <w:tr w14:paraId="65E0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0" w:type="auto"/>
            <w:vMerge w:val="continue"/>
            <w:vAlign w:val="center"/>
          </w:tcPr>
          <w:p w14:paraId="363EDFD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251D555B">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kern w:val="2"/>
                <w:sz w:val="18"/>
                <w:szCs w:val="18"/>
                <w:highlight w:val="none"/>
                <w:lang w:eastAsia="zh-CN"/>
              </w:rPr>
            </w:pPr>
            <w:r>
              <w:rPr>
                <w:rFonts w:hint="eastAsia"/>
                <w:color w:val="000000"/>
                <w:kern w:val="2"/>
                <w:sz w:val="18"/>
                <w:szCs w:val="18"/>
                <w:highlight w:val="none"/>
              </w:rPr>
              <w:t>DL RS</w:t>
            </w:r>
          </w:p>
        </w:tc>
        <w:tc>
          <w:tcPr>
            <w:tcW w:w="1151" w:type="dxa"/>
            <w:vAlign w:val="center"/>
          </w:tcPr>
          <w:p w14:paraId="71604445">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1527FE75">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3A599DDB">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1B099BC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5AA8C94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183E68EF">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2D4C5EE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r>
      <w:tr w14:paraId="2295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7DBAE33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05AB9365">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kern w:val="2"/>
                <w:sz w:val="18"/>
                <w:szCs w:val="18"/>
                <w:highlight w:val="none"/>
                <w:lang w:eastAsia="zh-CN"/>
              </w:rPr>
            </w:pPr>
            <w:r>
              <w:rPr>
                <w:rFonts w:hint="eastAsia"/>
                <w:color w:val="000000"/>
                <w:kern w:val="2"/>
                <w:sz w:val="18"/>
                <w:szCs w:val="18"/>
                <w:highlight w:val="none"/>
              </w:rPr>
              <w:t>Power dynamics</w:t>
            </w:r>
          </w:p>
        </w:tc>
        <w:tc>
          <w:tcPr>
            <w:tcW w:w="1151" w:type="dxa"/>
            <w:vAlign w:val="center"/>
          </w:tcPr>
          <w:p w14:paraId="2242381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616DF51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5260321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4F6DB7A7">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3F2B56B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7CAA642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2FD1E6F1">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r>
      <w:tr w14:paraId="42FA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5D985A1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38C4D43C">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kern w:val="2"/>
                <w:sz w:val="18"/>
                <w:szCs w:val="18"/>
                <w:highlight w:val="none"/>
                <w:lang w:eastAsia="zh-CN"/>
              </w:rPr>
            </w:pPr>
            <w:r>
              <w:rPr>
                <w:rFonts w:hint="eastAsia"/>
                <w:color w:val="000000"/>
                <w:kern w:val="2"/>
                <w:sz w:val="18"/>
                <w:szCs w:val="18"/>
                <w:highlight w:val="none"/>
              </w:rPr>
              <w:t>EVM (%)</w:t>
            </w:r>
          </w:p>
        </w:tc>
        <w:tc>
          <w:tcPr>
            <w:tcW w:w="1151" w:type="dxa"/>
            <w:vAlign w:val="center"/>
          </w:tcPr>
          <w:p w14:paraId="720EDE41">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3F71695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7CE3D119">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w:t>
            </w:r>
          </w:p>
        </w:tc>
        <w:tc>
          <w:tcPr>
            <w:tcW w:w="0" w:type="auto"/>
            <w:vAlign w:val="center"/>
          </w:tcPr>
          <w:p w14:paraId="4AD9B4C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1CF80F94">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737A74D5">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3BE107F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r>
      <w:tr w14:paraId="1648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1B2A78E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476C66B8">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FF"/>
                <w:kern w:val="2"/>
                <w:sz w:val="18"/>
                <w:szCs w:val="18"/>
                <w:highlight w:val="none"/>
                <w:lang w:eastAsia="zh-CN"/>
              </w:rPr>
            </w:pPr>
            <w:r>
              <w:rPr>
                <w:rFonts w:hint="eastAsia"/>
                <w:color w:val="0000FF"/>
                <w:kern w:val="2"/>
                <w:sz w:val="18"/>
                <w:szCs w:val="18"/>
                <w:highlight w:val="none"/>
              </w:rPr>
              <w:t>In-band TRP</w:t>
            </w:r>
          </w:p>
        </w:tc>
        <w:tc>
          <w:tcPr>
            <w:tcW w:w="1151" w:type="dxa"/>
            <w:vAlign w:val="center"/>
          </w:tcPr>
          <w:p w14:paraId="24AD7AE9">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2E50FCD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740150F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718B49A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079466C1">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6336B5A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44E4BD8F">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r>
      <w:tr w14:paraId="2B35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09836D74">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120AA3D4">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FF"/>
                <w:kern w:val="2"/>
                <w:sz w:val="18"/>
                <w:szCs w:val="18"/>
                <w:highlight w:val="none"/>
                <w:lang w:eastAsia="zh-CN"/>
              </w:rPr>
            </w:pPr>
            <w:r>
              <w:rPr>
                <w:rFonts w:hint="eastAsia"/>
                <w:color w:val="0000FF"/>
                <w:kern w:val="2"/>
                <w:sz w:val="18"/>
                <w:szCs w:val="18"/>
                <w:highlight w:val="none"/>
              </w:rPr>
              <w:t>ACLR - absolute</w:t>
            </w:r>
          </w:p>
        </w:tc>
        <w:tc>
          <w:tcPr>
            <w:tcW w:w="1151" w:type="dxa"/>
            <w:vAlign w:val="center"/>
          </w:tcPr>
          <w:p w14:paraId="3D3BC7B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3968BCA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021AF77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5F954A8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7D5A02C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01287671">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085475B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r>
      <w:tr w14:paraId="7732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432E9D1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6E4E552F">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FF"/>
                <w:kern w:val="2"/>
                <w:sz w:val="18"/>
                <w:szCs w:val="18"/>
                <w:highlight w:val="none"/>
                <w:lang w:eastAsia="zh-CN"/>
              </w:rPr>
            </w:pPr>
            <w:r>
              <w:rPr>
                <w:rFonts w:hint="eastAsia"/>
                <w:color w:val="0000FF"/>
                <w:kern w:val="2"/>
                <w:sz w:val="18"/>
                <w:szCs w:val="18"/>
                <w:highlight w:val="none"/>
              </w:rPr>
              <w:t>ACLR - relative</w:t>
            </w:r>
          </w:p>
        </w:tc>
        <w:tc>
          <w:tcPr>
            <w:tcW w:w="1151" w:type="dxa"/>
            <w:vAlign w:val="center"/>
          </w:tcPr>
          <w:p w14:paraId="4E26E6F5">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w:t>
            </w:r>
          </w:p>
        </w:tc>
        <w:tc>
          <w:tcPr>
            <w:tcW w:w="0" w:type="auto"/>
            <w:vAlign w:val="center"/>
          </w:tcPr>
          <w:p w14:paraId="45771AA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05461D6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w:t>
            </w:r>
          </w:p>
        </w:tc>
        <w:tc>
          <w:tcPr>
            <w:tcW w:w="0" w:type="auto"/>
            <w:vAlign w:val="center"/>
          </w:tcPr>
          <w:p w14:paraId="6DE21297">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14F00A78">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57CE486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1FBB8037">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r>
      <w:tr w14:paraId="5A9F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67CC896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2CC12597">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FF"/>
                <w:kern w:val="2"/>
                <w:sz w:val="18"/>
                <w:szCs w:val="18"/>
                <w:highlight w:val="none"/>
              </w:rPr>
            </w:pPr>
            <w:r>
              <w:rPr>
                <w:rFonts w:hint="eastAsia"/>
                <w:color w:val="0000FF"/>
                <w:kern w:val="2"/>
                <w:sz w:val="18"/>
                <w:szCs w:val="18"/>
                <w:highlight w:val="none"/>
              </w:rPr>
              <w:t>OBUE</w:t>
            </w:r>
          </w:p>
        </w:tc>
        <w:tc>
          <w:tcPr>
            <w:tcW w:w="1151" w:type="dxa"/>
            <w:vAlign w:val="center"/>
          </w:tcPr>
          <w:p w14:paraId="08CBE98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11CA8117">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20C706C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0E5CD03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19ABF35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74A24C81">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115DE827">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r>
      <w:tr w14:paraId="61F6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4184273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05E1F0CF">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FF"/>
                <w:kern w:val="2"/>
                <w:sz w:val="18"/>
                <w:szCs w:val="18"/>
                <w:highlight w:val="none"/>
              </w:rPr>
            </w:pPr>
            <w:r>
              <w:rPr>
                <w:rFonts w:hint="eastAsia"/>
                <w:color w:val="0000FF"/>
                <w:kern w:val="2"/>
                <w:sz w:val="18"/>
                <w:szCs w:val="18"/>
                <w:highlight w:val="none"/>
              </w:rPr>
              <w:t>SEM</w:t>
            </w:r>
          </w:p>
        </w:tc>
        <w:tc>
          <w:tcPr>
            <w:tcW w:w="1151" w:type="dxa"/>
            <w:vAlign w:val="center"/>
          </w:tcPr>
          <w:p w14:paraId="47DFD7AB">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716183E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450D108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213FD11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2845A5EB">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12FAE93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3ED08E7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r>
      <w:tr w14:paraId="46BF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5BBFD2E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690BD989">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FF"/>
                <w:kern w:val="2"/>
                <w:sz w:val="18"/>
                <w:szCs w:val="18"/>
                <w:highlight w:val="none"/>
              </w:rPr>
            </w:pPr>
            <w:r>
              <w:rPr>
                <w:rFonts w:hint="eastAsia"/>
                <w:color w:val="0000FF"/>
                <w:kern w:val="2"/>
                <w:sz w:val="18"/>
                <w:szCs w:val="18"/>
                <w:highlight w:val="none"/>
              </w:rPr>
              <w:t>Tx spurious emissions</w:t>
            </w:r>
          </w:p>
        </w:tc>
        <w:tc>
          <w:tcPr>
            <w:tcW w:w="1151" w:type="dxa"/>
            <w:vAlign w:val="center"/>
          </w:tcPr>
          <w:p w14:paraId="06A55E4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111D6BEF">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30C26985">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2D56E7E9">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7A0BB241">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p>
        </w:tc>
        <w:tc>
          <w:tcPr>
            <w:tcW w:w="0" w:type="auto"/>
            <w:vAlign w:val="center"/>
          </w:tcPr>
          <w:p w14:paraId="2DC254EF">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c>
          <w:tcPr>
            <w:tcW w:w="0" w:type="auto"/>
            <w:vAlign w:val="center"/>
          </w:tcPr>
          <w:p w14:paraId="13412F44">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FF"/>
                <w:kern w:val="2"/>
                <w:sz w:val="18"/>
                <w:szCs w:val="18"/>
                <w:highlight w:val="none"/>
                <w:lang w:eastAsia="zh-CN"/>
              </w:rPr>
            </w:pPr>
            <w:r>
              <w:rPr>
                <w:rFonts w:hint="eastAsia"/>
                <w:color w:val="0000FF"/>
                <w:kern w:val="2"/>
                <w:sz w:val="18"/>
                <w:szCs w:val="18"/>
                <w:highlight w:val="none"/>
                <w:lang w:eastAsia="zh-CN"/>
              </w:rPr>
              <w:t>X</w:t>
            </w:r>
          </w:p>
        </w:tc>
      </w:tr>
      <w:tr w14:paraId="0ED9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0" w:type="auto"/>
            <w:vMerge w:val="continue"/>
            <w:vAlign w:val="center"/>
          </w:tcPr>
          <w:p w14:paraId="287F017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2B68768B">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00"/>
                <w:kern w:val="2"/>
                <w:sz w:val="18"/>
                <w:szCs w:val="18"/>
                <w:highlight w:val="none"/>
              </w:rPr>
            </w:pPr>
            <w:r>
              <w:rPr>
                <w:rFonts w:hint="eastAsia"/>
                <w:color w:val="000000"/>
                <w:kern w:val="2"/>
                <w:sz w:val="18"/>
                <w:szCs w:val="18"/>
                <w:highlight w:val="none"/>
              </w:rPr>
              <w:t>Co-ex EM</w:t>
            </w:r>
          </w:p>
        </w:tc>
        <w:tc>
          <w:tcPr>
            <w:tcW w:w="1151" w:type="dxa"/>
            <w:vAlign w:val="center"/>
          </w:tcPr>
          <w:p w14:paraId="6198887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33B717A4">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1212B81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732CDEB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1B69BBB9">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4253719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1638747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r>
      <w:tr w14:paraId="2941D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0" w:type="auto"/>
            <w:vMerge w:val="restart"/>
            <w:vAlign w:val="center"/>
          </w:tcPr>
          <w:p w14:paraId="49B7393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r>
              <w:rPr>
                <w:rFonts w:hint="eastAsia"/>
                <w:color w:val="000000"/>
                <w:kern w:val="2"/>
                <w:sz w:val="18"/>
                <w:szCs w:val="18"/>
                <w:highlight w:val="none"/>
              </w:rPr>
              <w:t>Rx</w:t>
            </w:r>
          </w:p>
        </w:tc>
        <w:tc>
          <w:tcPr>
            <w:tcW w:w="1151" w:type="dxa"/>
            <w:vAlign w:val="center"/>
          </w:tcPr>
          <w:p w14:paraId="151B3952">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00"/>
                <w:kern w:val="2"/>
                <w:sz w:val="18"/>
                <w:szCs w:val="18"/>
                <w:highlight w:val="none"/>
              </w:rPr>
            </w:pPr>
            <w:r>
              <w:rPr>
                <w:rFonts w:hint="eastAsia"/>
                <w:color w:val="000000"/>
                <w:kern w:val="2"/>
                <w:sz w:val="18"/>
                <w:szCs w:val="18"/>
                <w:highlight w:val="none"/>
              </w:rPr>
              <w:t>EIS</w:t>
            </w:r>
          </w:p>
        </w:tc>
        <w:tc>
          <w:tcPr>
            <w:tcW w:w="1151" w:type="dxa"/>
            <w:vAlign w:val="center"/>
          </w:tcPr>
          <w:p w14:paraId="5072AAB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5A0B597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0072F150">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54A0327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20BC3BF3">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c>
          <w:tcPr>
            <w:tcW w:w="0" w:type="auto"/>
            <w:vAlign w:val="center"/>
          </w:tcPr>
          <w:p w14:paraId="705493DE">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77B9AD7F">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r>
      <w:tr w14:paraId="316F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0" w:type="auto"/>
            <w:vMerge w:val="continue"/>
            <w:vAlign w:val="center"/>
          </w:tcPr>
          <w:p w14:paraId="5E326694">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color w:val="000000"/>
                <w:kern w:val="2"/>
                <w:sz w:val="18"/>
                <w:szCs w:val="18"/>
                <w:highlight w:val="none"/>
              </w:rPr>
            </w:pPr>
          </w:p>
        </w:tc>
        <w:tc>
          <w:tcPr>
            <w:tcW w:w="1151" w:type="dxa"/>
            <w:vAlign w:val="center"/>
          </w:tcPr>
          <w:p w14:paraId="4E961514">
            <w:pPr>
              <w:keepNext w:val="0"/>
              <w:keepLines w:val="0"/>
              <w:widowControl/>
              <w:suppressLineNumbers w:val="0"/>
              <w:overflowPunct w:val="0"/>
              <w:autoSpaceDE w:val="0"/>
              <w:autoSpaceDN w:val="0"/>
              <w:adjustRightInd w:val="0"/>
              <w:spacing w:before="0" w:beforeAutospacing="0" w:afterAutospacing="0"/>
              <w:ind w:left="0" w:right="0"/>
              <w:textAlignment w:val="baseline"/>
              <w:rPr>
                <w:rFonts w:hint="eastAsia"/>
                <w:color w:val="000000"/>
                <w:kern w:val="2"/>
                <w:sz w:val="18"/>
                <w:szCs w:val="18"/>
                <w:highlight w:val="none"/>
              </w:rPr>
            </w:pPr>
            <w:r>
              <w:rPr>
                <w:rFonts w:hint="eastAsia"/>
                <w:color w:val="000000"/>
                <w:kern w:val="2"/>
                <w:sz w:val="18"/>
                <w:szCs w:val="18"/>
                <w:highlight w:val="none"/>
              </w:rPr>
              <w:t>Rx spurious emissions</w:t>
            </w:r>
          </w:p>
        </w:tc>
        <w:tc>
          <w:tcPr>
            <w:tcW w:w="1151" w:type="dxa"/>
            <w:vAlign w:val="center"/>
          </w:tcPr>
          <w:p w14:paraId="6EB38DE2">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79570D56">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1BA78E5C">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060D2B7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4249A8CF">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1EDDDD9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p>
        </w:tc>
        <w:tc>
          <w:tcPr>
            <w:tcW w:w="0" w:type="auto"/>
            <w:vAlign w:val="center"/>
          </w:tcPr>
          <w:p w14:paraId="408B0C9A">
            <w:pPr>
              <w:keepNext w:val="0"/>
              <w:keepLines w:val="0"/>
              <w:widowControl/>
              <w:suppressLineNumbers w:val="0"/>
              <w:overflowPunct w:val="0"/>
              <w:autoSpaceDE w:val="0"/>
              <w:autoSpaceDN w:val="0"/>
              <w:adjustRightInd w:val="0"/>
              <w:spacing w:before="0" w:beforeAutospacing="0" w:afterAutospacing="0"/>
              <w:ind w:left="0" w:right="0"/>
              <w:jc w:val="center"/>
              <w:textAlignment w:val="baseline"/>
              <w:rPr>
                <w:rFonts w:hint="eastAsia"/>
                <w:kern w:val="2"/>
                <w:sz w:val="18"/>
                <w:szCs w:val="18"/>
                <w:highlight w:val="none"/>
                <w:lang w:eastAsia="zh-CN"/>
              </w:rPr>
            </w:pPr>
            <w:r>
              <w:rPr>
                <w:rFonts w:hint="eastAsia"/>
                <w:kern w:val="2"/>
                <w:sz w:val="18"/>
                <w:szCs w:val="18"/>
                <w:highlight w:val="none"/>
                <w:lang w:eastAsia="zh-CN"/>
              </w:rPr>
              <w:t>X</w:t>
            </w:r>
          </w:p>
        </w:tc>
      </w:tr>
    </w:tbl>
    <w:p w14:paraId="6AA71415">
      <w:pPr>
        <w:rPr>
          <w:rFonts w:hint="eastAsia"/>
          <w:lang w:val="en-US" w:eastAsia="zh-CN"/>
        </w:rPr>
      </w:pPr>
    </w:p>
    <w:p w14:paraId="53C49BC1">
      <w:pPr>
        <w:rPr>
          <w:rFonts w:hint="eastAsia"/>
          <w:lang w:val="en-US" w:eastAsia="zh-CN"/>
        </w:rPr>
      </w:pPr>
      <w:r>
        <w:rPr>
          <w:rFonts w:hint="eastAsia"/>
          <w:lang w:val="en-US" w:eastAsia="zh-CN"/>
        </w:rPr>
        <w:t xml:space="preserve">Regarding the preferred test method for TRP sampling and calculation, we are also fine to agree with </w:t>
      </w:r>
      <w:r>
        <w:t>Reference angular step</w:t>
      </w:r>
      <w:r>
        <w:rPr>
          <w:rFonts w:hint="eastAsia"/>
          <w:lang w:val="en-US" w:eastAsia="zh-CN"/>
        </w:rPr>
        <w:t xml:space="preserve"> as the preferred test method for all TRP based radiated RF requirement.  </w:t>
      </w:r>
    </w:p>
    <w:p w14:paraId="61420318">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For OTA base station output power, ACLR and operating band unwanted emissions, use the following option 1 as starting point. </w:t>
      </w:r>
    </w:p>
    <w:p w14:paraId="28BD9568">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Option 1: </w:t>
      </w:r>
    </w:p>
    <w:p w14:paraId="7A27909E">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 xml:space="preserve">Step 1: [Orthogonal cut grid] (two-cuts and optional three cuts) as described in annex I.5 or Beam-based directions as described in annex I.10 may be performed if chosen for the test, go to step 2 </w:t>
      </w:r>
      <w:r>
        <w:rPr>
          <w:rFonts w:eastAsia="宋体"/>
          <w:color w:val="0070C0"/>
          <w:highlight w:val="none"/>
          <w:lang w:val="en-US" w:eastAsia="zh-CN"/>
        </w:rPr>
        <w:t>if this step is not chosen</w:t>
      </w:r>
      <w:r>
        <w:rPr>
          <w:rFonts w:hint="eastAsia" w:eastAsia="宋体"/>
          <w:color w:val="0070C0"/>
          <w:highlight w:val="none"/>
          <w:lang w:val="en-US" w:eastAsia="zh-CN"/>
        </w:rPr>
        <w:t xml:space="preserve"> or </w:t>
      </w:r>
      <w:r>
        <w:rPr>
          <w:rFonts w:eastAsia="宋体"/>
          <w:color w:val="0070C0"/>
          <w:highlight w:val="none"/>
          <w:lang w:val="en-US" w:eastAsia="zh-CN"/>
        </w:rPr>
        <w:t>the BS under test fails the test in this step</w:t>
      </w:r>
      <w:r>
        <w:rPr>
          <w:rFonts w:hint="eastAsia" w:eastAsia="宋体"/>
          <w:color w:val="0070C0"/>
          <w:highlight w:val="none"/>
          <w:lang w:val="en-US" w:eastAsia="zh-CN"/>
        </w:rPr>
        <w:t>.</w:t>
      </w:r>
    </w:p>
    <w:p w14:paraId="12F8B599">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One of the TRP measurement procedure as described in annex I.2 to I.9 except annex I.5 shall be performed for the test.</w:t>
      </w:r>
    </w:p>
    <w:p w14:paraId="614C9506">
      <w:pPr>
        <w:pStyle w:val="38"/>
        <w:numPr>
          <w:ilvl w:val="1"/>
          <w:numId w:val="4"/>
        </w:numPr>
        <w:overflowPunct/>
        <w:autoSpaceDE/>
        <w:autoSpaceDN/>
        <w:adjustRightInd/>
        <w:spacing w:after="120"/>
        <w:ind w:left="1440" w:firstLineChars="0"/>
        <w:textAlignment w:val="auto"/>
        <w:rPr>
          <w:rFonts w:eastAsia="宋体"/>
          <w:color w:val="0070C0"/>
          <w:highlight w:val="none"/>
          <w:lang w:val="en-US" w:eastAsia="zh-CN"/>
        </w:rPr>
      </w:pPr>
      <w:r>
        <w:rPr>
          <w:rFonts w:hint="eastAsia" w:eastAsia="宋体"/>
          <w:color w:val="0070C0"/>
          <w:highlight w:val="none"/>
          <w:lang w:val="en-US" w:eastAsia="zh-CN"/>
        </w:rPr>
        <w:t>For OTA base station spurious emission, use the option 1 as starting point</w:t>
      </w:r>
    </w:p>
    <w:p w14:paraId="75081DDD">
      <w:pPr>
        <w:pStyle w:val="38"/>
        <w:numPr>
          <w:ilvl w:val="2"/>
          <w:numId w:val="4"/>
        </w:numPr>
        <w:overflowPunct/>
        <w:autoSpaceDE/>
        <w:autoSpaceDN/>
        <w:adjustRightInd/>
        <w:spacing w:after="120"/>
        <w:ind w:left="1860" w:firstLineChars="0"/>
        <w:textAlignment w:val="auto"/>
        <w:rPr>
          <w:rFonts w:eastAsia="宋体"/>
          <w:color w:val="0070C0"/>
          <w:highlight w:val="none"/>
          <w:lang w:val="en-US" w:eastAsia="zh-CN"/>
        </w:rPr>
      </w:pPr>
      <w:r>
        <w:rPr>
          <w:rFonts w:hint="eastAsia" w:eastAsia="宋体"/>
          <w:color w:val="0070C0"/>
          <w:highlight w:val="none"/>
          <w:lang w:val="en-US" w:eastAsia="zh-CN"/>
        </w:rPr>
        <w:t>Option 1:</w:t>
      </w:r>
    </w:p>
    <w:p w14:paraId="46D75D3D">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1: Pre-scan as described in annex I.13</w:t>
      </w:r>
      <w:r>
        <w:rPr>
          <w:rFonts w:eastAsia="宋体"/>
          <w:color w:val="0070C0"/>
          <w:highlight w:val="none"/>
          <w:lang w:val="en-US" w:eastAsia="zh-CN"/>
        </w:rPr>
        <w:t xml:space="preserve"> if chosen for the test,</w:t>
      </w:r>
      <w:r>
        <w:rPr>
          <w:rFonts w:hint="eastAsia" w:eastAsia="宋体"/>
          <w:color w:val="0070C0"/>
          <w:highlight w:val="none"/>
          <w:lang w:val="en-US" w:eastAsia="zh-CN"/>
        </w:rPr>
        <w:t xml:space="preserve"> go to step 2 </w:t>
      </w:r>
      <w:r>
        <w:rPr>
          <w:rFonts w:eastAsia="宋体"/>
          <w:color w:val="0070C0"/>
          <w:highlight w:val="none"/>
          <w:lang w:val="en-US" w:eastAsia="zh-CN"/>
        </w:rPr>
        <w:t>if this step is not chosen</w:t>
      </w:r>
      <w:r>
        <w:rPr>
          <w:rFonts w:hint="eastAsia" w:eastAsia="宋体"/>
          <w:color w:val="0070C0"/>
          <w:highlight w:val="none"/>
          <w:lang w:val="en-US" w:eastAsia="zh-CN"/>
        </w:rPr>
        <w:t>.</w:t>
      </w:r>
    </w:p>
    <w:p w14:paraId="34611EEA">
      <w:pPr>
        <w:pStyle w:val="38"/>
        <w:numPr>
          <w:ilvl w:val="3"/>
          <w:numId w:val="4"/>
        </w:numPr>
        <w:overflowPunct/>
        <w:autoSpaceDE/>
        <w:autoSpaceDN/>
        <w:adjustRightInd/>
        <w:spacing w:after="120"/>
        <w:ind w:left="2280" w:firstLineChars="0"/>
        <w:textAlignment w:val="auto"/>
        <w:rPr>
          <w:rFonts w:eastAsia="宋体"/>
          <w:color w:val="0070C0"/>
          <w:highlight w:val="none"/>
          <w:lang w:val="en-US" w:eastAsia="zh-CN"/>
        </w:rPr>
      </w:pPr>
      <w:r>
        <w:rPr>
          <w:rFonts w:hint="eastAsia" w:eastAsia="宋体"/>
          <w:color w:val="0070C0"/>
          <w:highlight w:val="none"/>
          <w:lang w:val="en-US" w:eastAsia="zh-CN"/>
        </w:rPr>
        <w:t>Step 2: [Orthogonal cut grid] (two-cuts and optional three cuts) as described in annex I.5 or Peak method as described in annex I.11 or Equal sector with peak average as described in annex I.12 may be performed if chosen for the test, go to step 3 if this step is not chosen or the BS under test fails the test in this step.</w:t>
      </w:r>
    </w:p>
    <w:p w14:paraId="00C80E8B">
      <w:pPr>
        <w:pStyle w:val="38"/>
        <w:numPr>
          <w:ilvl w:val="3"/>
          <w:numId w:val="4"/>
        </w:numPr>
        <w:overflowPunct/>
        <w:autoSpaceDE/>
        <w:autoSpaceDN/>
        <w:adjustRightInd/>
        <w:spacing w:after="120"/>
        <w:ind w:left="2280" w:firstLineChars="0"/>
        <w:textAlignment w:val="auto"/>
      </w:pPr>
      <w:r>
        <w:rPr>
          <w:rFonts w:hint="eastAsia" w:eastAsia="宋体"/>
          <w:color w:val="0070C0"/>
          <w:highlight w:val="none"/>
          <w:lang w:val="en-US" w:eastAsia="zh-CN"/>
        </w:rPr>
        <w:t>Step 3: One of the TRP measurement procedure as described in annex I.2 to I.9 except annex I.5 shall be performed for the test.</w:t>
      </w:r>
    </w:p>
    <w:p w14:paraId="6A61DCF9">
      <w:pPr>
        <w:numPr>
          <w:ilvl w:val="0"/>
          <w:numId w:val="0"/>
        </w:numPr>
        <w:rPr>
          <w:rFonts w:hint="default"/>
          <w:lang w:val="en-US" w:eastAsia="zh-CN"/>
        </w:rPr>
      </w:pPr>
      <w:r>
        <w:rPr>
          <w:rFonts w:hint="eastAsia"/>
          <w:b/>
          <w:bCs/>
          <w:lang w:val="en-US" w:eastAsia="zh-CN"/>
        </w:rPr>
        <w:t>Proposal 3:</w:t>
      </w:r>
      <w:r>
        <w:rPr>
          <w:rFonts w:hint="eastAsia"/>
          <w:lang w:val="en-US" w:eastAsia="zh-CN"/>
        </w:rPr>
        <w:t xml:space="preserve"> Regarding the preferred test method for TRP sampling and calculation, propose to use the </w:t>
      </w:r>
      <w:r>
        <w:t>Reference angular step</w:t>
      </w:r>
      <w:r>
        <w:rPr>
          <w:rFonts w:hint="eastAsia"/>
          <w:lang w:val="en-US" w:eastAsia="zh-CN"/>
        </w:rPr>
        <w:t xml:space="preserve"> as the preferred test method for all TRP based radiated RF requirement.</w:t>
      </w:r>
    </w:p>
    <w:p w14:paraId="6AF56E43">
      <w:pPr>
        <w:numPr>
          <w:ilvl w:val="0"/>
          <w:numId w:val="0"/>
        </w:numPr>
        <w:rPr>
          <w:rFonts w:hint="default"/>
          <w:lang w:val="en-US" w:eastAsia="zh-CN"/>
        </w:rPr>
      </w:pPr>
      <w:r>
        <w:rPr>
          <w:rFonts w:hint="eastAsia"/>
          <w:b/>
          <w:bCs/>
          <w:lang w:val="en-US" w:eastAsia="zh-CN"/>
        </w:rPr>
        <w:t>Proposal 4:</w:t>
      </w:r>
      <w:r>
        <w:rPr>
          <w:rFonts w:hint="eastAsia"/>
          <w:lang w:val="en-US" w:eastAsia="zh-CN"/>
        </w:rPr>
        <w:t xml:space="preserve"> Regarding the Pre-scan or orthogonal cut grid, propose to continue the improvement on top of existing specification instead of creating new testing method.</w:t>
      </w:r>
    </w:p>
    <w:bookmarkEnd w:id="1"/>
    <w:bookmarkEnd w:id="2"/>
    <w:bookmarkEnd w:id="3"/>
    <w:bookmarkEnd w:id="4"/>
    <w:p w14:paraId="729D443F">
      <w:pPr>
        <w:pStyle w:val="59"/>
        <w:tabs>
          <w:tab w:val="left" w:pos="567"/>
          <w:tab w:val="clear" w:pos="1985"/>
        </w:tabs>
        <w:adjustRightInd w:val="0"/>
        <w:ind w:left="510" w:hanging="510"/>
      </w:pPr>
      <w:r>
        <w:t>Conclusions</w:t>
      </w:r>
    </w:p>
    <w:p w14:paraId="6A1BE3B5">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5915CAFF">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1</w:t>
      </w:r>
      <w:r>
        <w:rPr>
          <w:rFonts w:hint="eastAsia"/>
          <w:lang w:val="en-US" w:eastAsia="zh-CN"/>
        </w:rPr>
        <w:t>: For the definition of anechoic chamber, it should include the following chamber defined in TR 37.941:</w:t>
      </w:r>
    </w:p>
    <w:p w14:paraId="291C8BBA">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Indoor Anechoic Chamber</w:t>
      </w:r>
    </w:p>
    <w:p w14:paraId="04D28284">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Compact Antenna Test Range</w:t>
      </w:r>
    </w:p>
    <w:p w14:paraId="2FBA7847">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Near Field Test Range</w:t>
      </w:r>
    </w:p>
    <w:p w14:paraId="25DDDBE8">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One Dimensional Compact Range</w:t>
      </w:r>
    </w:p>
    <w:p w14:paraId="5EABEFB6">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General Chamber</w:t>
      </w:r>
    </w:p>
    <w:p w14:paraId="2FC85655">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eastAsia"/>
          <w:lang w:val="en-US" w:eastAsia="zh-CN"/>
        </w:rPr>
      </w:pPr>
      <w:r>
        <w:rPr>
          <w:rFonts w:hint="eastAsia"/>
          <w:lang w:val="en-US" w:eastAsia="zh-CN"/>
        </w:rPr>
        <w:t>Reverberation Chamber</w:t>
      </w:r>
    </w:p>
    <w:p w14:paraId="414106C7">
      <w:pPr>
        <w:keepNext w:val="0"/>
        <w:keepLines w:val="0"/>
        <w:pageBreakBefore w:val="0"/>
        <w:widowControl w:val="0"/>
        <w:numPr>
          <w:ilvl w:val="0"/>
          <w:numId w:val="6"/>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 xml:space="preserve">Plane Wave Synthesizer </w:t>
      </w:r>
    </w:p>
    <w:p w14:paraId="1028641A">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2:</w:t>
      </w:r>
      <w:r>
        <w:rPr>
          <w:rFonts w:hint="eastAsia"/>
          <w:lang w:val="en-US" w:eastAsia="zh-CN"/>
        </w:rPr>
        <w:t xml:space="preserve"> Propose not to define the preferred anechoic chamber for different TRP based radiated RF requirements;</w:t>
      </w:r>
    </w:p>
    <w:p w14:paraId="16E2DA34">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Proposal 3:</w:t>
      </w:r>
      <w:r>
        <w:rPr>
          <w:rFonts w:hint="eastAsia"/>
          <w:lang w:val="en-US" w:eastAsia="zh-CN"/>
        </w:rPr>
        <w:t xml:space="preserve"> Regarding the preferred test method for TRP sampling and calculation, propose to use the </w:t>
      </w:r>
      <w:r>
        <w:t>Reference angular step</w:t>
      </w:r>
      <w:r>
        <w:rPr>
          <w:rFonts w:hint="eastAsia"/>
          <w:lang w:val="en-US" w:eastAsia="zh-CN"/>
        </w:rPr>
        <w:t xml:space="preserve"> as the preferred test method for all TRP based radiated RF requirement.</w:t>
      </w:r>
    </w:p>
    <w:p w14:paraId="10486664">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heme="minorEastAsia"/>
        </w:rPr>
      </w:pPr>
      <w:r>
        <w:rPr>
          <w:rFonts w:hint="eastAsia"/>
          <w:b/>
          <w:bCs/>
          <w:lang w:val="en-US" w:eastAsia="zh-CN"/>
        </w:rPr>
        <w:t>Proposal 4:</w:t>
      </w:r>
      <w:r>
        <w:rPr>
          <w:rFonts w:hint="eastAsia"/>
          <w:lang w:val="en-US" w:eastAsia="zh-CN"/>
        </w:rPr>
        <w:t xml:space="preserve"> Regarding the Pre-scan or orthogonal cut grid, propose to continue the improvement on top of existing specification instead of creating new testing method.</w:t>
      </w:r>
    </w:p>
    <w:p w14:paraId="7CA61814">
      <w:pPr>
        <w:pStyle w:val="59"/>
        <w:tabs>
          <w:tab w:val="left" w:pos="567"/>
          <w:tab w:val="clear" w:pos="1985"/>
        </w:tabs>
        <w:adjustRightInd w:val="0"/>
        <w:ind w:left="510" w:hanging="510"/>
      </w:pPr>
      <w:r>
        <w:t>References</w:t>
      </w:r>
    </w:p>
    <w:p w14:paraId="12E5D5F0">
      <w:pPr>
        <w:pStyle w:val="57"/>
        <w:numPr>
          <w:ilvl w:val="0"/>
          <w:numId w:val="8"/>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7"/>
        <w:numPr>
          <w:ilvl w:val="0"/>
          <w:numId w:val="8"/>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7"/>
        <w:numPr>
          <w:ilvl w:val="0"/>
          <w:numId w:val="8"/>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00861CCE">
      <w:pPr>
        <w:keepNext w:val="0"/>
        <w:keepLines w:val="0"/>
        <w:pageBreakBefore w:val="0"/>
        <w:widowControl w:val="0"/>
        <w:numPr>
          <w:ilvl w:val="0"/>
          <w:numId w:val="8"/>
        </w:numPr>
        <w:kinsoku/>
        <w:wordWrap/>
        <w:overflowPunct/>
        <w:topLinePunct w:val="0"/>
        <w:autoSpaceDE/>
        <w:autoSpaceDN/>
        <w:bidi w:val="0"/>
        <w:adjustRightInd/>
        <w:snapToGrid/>
        <w:spacing w:after="0"/>
        <w:ind w:left="0" w:leftChars="0" w:firstLine="0" w:firstLineChars="0"/>
        <w:textAlignment w:val="auto"/>
        <w:rPr>
          <w:rFonts w:hint="eastAsia"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R4-2502375</w:t>
      </w:r>
      <w:r>
        <w:rPr>
          <w:rFonts w:hint="eastAsia" w:ascii="Times New Roman" w:hAnsi="Times New Roman" w:eastAsia="宋体" w:cs="Times New Roman"/>
          <w:kern w:val="2"/>
          <w:sz w:val="20"/>
          <w:szCs w:val="20"/>
          <w:lang w:val="en-US" w:eastAsia="zh-CN" w:bidi="ar-SA"/>
        </w:rPr>
        <w:tab/>
      </w:r>
      <w:r>
        <w:rPr>
          <w:rFonts w:hint="eastAsia" w:ascii="Times New Roman" w:hAnsi="Times New Roman" w:eastAsia="宋体" w:cs="Times New Roman"/>
          <w:kern w:val="2"/>
          <w:sz w:val="20"/>
          <w:szCs w:val="20"/>
          <w:lang w:val="en-US" w:eastAsia="zh-CN" w:bidi="ar-SA"/>
        </w:rPr>
        <w:t>Way Forward for [114][304] NR_BS_RF_Part3_OTA_TRP</w:t>
      </w:r>
      <w:r>
        <w:rPr>
          <w:rFonts w:hint="eastAsia" w:cs="Times New Roman"/>
          <w:kern w:val="2"/>
          <w:sz w:val="20"/>
          <w:szCs w:val="20"/>
          <w:lang w:val="en-US" w:eastAsia="zh-CN" w:bidi="ar-SA"/>
        </w:rPr>
        <w:t>, ZTE, approved.</w:t>
      </w:r>
    </w:p>
    <w:p w14:paraId="38CC1548">
      <w:pPr>
        <w:pStyle w:val="57"/>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R4-2504740</w:t>
      </w:r>
      <w:r>
        <w:rPr>
          <w:rFonts w:hint="eastAsia" w:eastAsia="宋体"/>
          <w:sz w:val="20"/>
          <w:szCs w:val="20"/>
          <w:lang w:val="en-US" w:eastAsia="zh-CN"/>
        </w:rPr>
        <w:tab/>
      </w:r>
      <w:r>
        <w:rPr>
          <w:rFonts w:hint="eastAsia" w:eastAsia="宋体"/>
          <w:sz w:val="20"/>
          <w:szCs w:val="20"/>
          <w:lang w:val="en-US" w:eastAsia="zh-CN"/>
        </w:rPr>
        <w:t>Way Forward for [114bis][304] NR_BS_RF_Part3_OTA_TRP, ZTE, approved.</w:t>
      </w:r>
    </w:p>
    <w:p w14:paraId="091933B5">
      <w:pPr>
        <w:pStyle w:val="57"/>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 xml:space="preserve"> R4-2512580  Way Forward for [116][304] NR_BS_RF_Part3_OTA_TRP</w:t>
      </w:r>
    </w:p>
    <w:p w14:paraId="11E75CA3">
      <w:pPr>
        <w:pStyle w:val="57"/>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default" w:eastAsia="宋体"/>
          <w:sz w:val="20"/>
          <w:szCs w:val="20"/>
          <w:lang w:val="en-US" w:eastAsia="zh-CN"/>
        </w:rPr>
      </w:pPr>
      <w:r>
        <w:rPr>
          <w:rFonts w:hint="default" w:eastAsia="宋体"/>
          <w:sz w:val="20"/>
          <w:szCs w:val="20"/>
          <w:lang w:val="en-US" w:eastAsia="zh-CN"/>
        </w:rPr>
        <w:fldChar w:fldCharType="begin"/>
      </w:r>
      <w:r>
        <w:rPr>
          <w:rFonts w:hint="default" w:eastAsia="宋体"/>
          <w:sz w:val="20"/>
          <w:szCs w:val="20"/>
          <w:lang w:val="en-US" w:eastAsia="zh-CN"/>
        </w:rPr>
        <w:instrText xml:space="preserve"> HYPERLINK "https://www.3gpp.org/ftp/tsg_ran/WG4_Radio/TSGR4_115/Docs/R4-2507448.zip" </w:instrText>
      </w:r>
      <w:r>
        <w:rPr>
          <w:rFonts w:hint="default" w:eastAsia="宋体"/>
          <w:sz w:val="20"/>
          <w:szCs w:val="20"/>
          <w:lang w:val="en-US" w:eastAsia="zh-CN"/>
        </w:rPr>
        <w:fldChar w:fldCharType="separate"/>
      </w:r>
      <w:r>
        <w:rPr>
          <w:rFonts w:hint="default" w:eastAsia="宋体"/>
          <w:sz w:val="20"/>
          <w:szCs w:val="20"/>
          <w:lang w:val="en-US" w:eastAsia="zh-CN"/>
        </w:rPr>
        <w:t>R4-2507448</w:t>
      </w:r>
      <w:r>
        <w:rPr>
          <w:rFonts w:hint="default" w:eastAsia="宋体"/>
          <w:sz w:val="20"/>
          <w:szCs w:val="20"/>
          <w:lang w:val="en-US" w:eastAsia="zh-CN"/>
        </w:rPr>
        <w:fldChar w:fldCharType="end"/>
      </w:r>
      <w:r>
        <w:rPr>
          <w:rFonts w:hint="eastAsia" w:eastAsia="宋体"/>
          <w:sz w:val="20"/>
          <w:szCs w:val="20"/>
          <w:lang w:val="en-US" w:eastAsia="zh-CN"/>
        </w:rPr>
        <w:t xml:space="preserve">   </w:t>
      </w:r>
      <w:r>
        <w:rPr>
          <w:rFonts w:hint="default" w:eastAsia="宋体"/>
          <w:sz w:val="20"/>
          <w:szCs w:val="20"/>
          <w:lang w:val="en-US" w:eastAsia="zh-CN"/>
        </w:rPr>
        <w:t>Further discussion on European Commission’s feedback wrt. alternative test methods</w:t>
      </w:r>
    </w:p>
    <w:p w14:paraId="299DAC5F">
      <w:pPr>
        <w:pStyle w:val="5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p>
    <w:p w14:paraId="7B4C1BBD">
      <w:pPr>
        <w:pStyle w:val="59"/>
        <w:tabs>
          <w:tab w:val="left" w:pos="567"/>
          <w:tab w:val="clear" w:pos="1985"/>
        </w:tabs>
        <w:adjustRightInd w:val="0"/>
        <w:ind w:left="510" w:hanging="510"/>
      </w:pPr>
      <w:r>
        <w:rPr>
          <w:rFonts w:hint="eastAsia"/>
          <w:lang w:val="en-US" w:eastAsia="zh-CN"/>
        </w:rPr>
        <w:t>Annex</w:t>
      </w:r>
    </w:p>
    <w:p w14:paraId="3D804267">
      <w:pPr>
        <w:pStyle w:val="10"/>
        <w:ind w:left="0" w:leftChars="0" w:firstLine="0" w:firstLineChars="0"/>
      </w:pPr>
      <w:bookmarkStart w:id="5" w:name="_Toc58916118"/>
      <w:bookmarkStart w:id="6" w:name="_Toc89953120"/>
      <w:bookmarkStart w:id="7" w:name="_Toc58918299"/>
      <w:bookmarkStart w:id="8" w:name="_Toc45886361"/>
      <w:bookmarkStart w:id="9" w:name="_Toc176949626"/>
      <w:bookmarkStart w:id="10" w:name="_Toc99703300"/>
      <w:bookmarkStart w:id="11" w:name="_Toc82536827"/>
      <w:bookmarkStart w:id="12" w:name="_Toc29810964"/>
      <w:bookmarkStart w:id="13" w:name="_Toc37273271"/>
      <w:bookmarkStart w:id="14" w:name="_Toc98766937"/>
      <w:bookmarkStart w:id="15" w:name="_Toc76114819"/>
      <w:bookmarkStart w:id="16" w:name="_Toc53183406"/>
      <w:bookmarkStart w:id="17" w:name="_Toc36636325"/>
      <w:bookmarkStart w:id="18" w:name="_Toc187258433"/>
      <w:bookmarkStart w:id="19" w:name="_Toc76544705"/>
      <w:bookmarkStart w:id="20" w:name="_Toc122000045"/>
      <w:bookmarkStart w:id="21" w:name="_Toc124154944"/>
      <w:bookmarkStart w:id="22" w:name="_Toc74916194"/>
      <w:bookmarkStart w:id="23" w:name="_Toc21103115"/>
      <w:bookmarkStart w:id="24" w:name="_Toc66694169"/>
      <w:bookmarkStart w:id="25" w:name="_Toc106207092"/>
      <w:bookmarkStart w:id="26" w:name="_Toc137396869"/>
      <w:bookmarkStart w:id="27" w:name="_Toc115081094"/>
      <w:bookmarkStart w:id="28" w:name="_Toc156578312"/>
      <w:r>
        <w:t>Annex I (normative):</w:t>
      </w:r>
      <w:r>
        <w:br w:type="textWrapping"/>
      </w:r>
      <w:r>
        <w:t>TRP measurement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C802D00">
      <w:pPr>
        <w:pStyle w:val="2"/>
      </w:pPr>
      <w:bookmarkStart w:id="29" w:name="_Toc124154945"/>
      <w:bookmarkStart w:id="30" w:name="_Toc82536828"/>
      <w:bookmarkStart w:id="31" w:name="_Toc58918300"/>
      <w:bookmarkStart w:id="32" w:name="_Toc76544706"/>
      <w:bookmarkStart w:id="33" w:name="_Toc156578313"/>
      <w:bookmarkStart w:id="34" w:name="_Toc76114820"/>
      <w:bookmarkStart w:id="35" w:name="_Toc21103116"/>
      <w:bookmarkStart w:id="36" w:name="_Toc89953121"/>
      <w:bookmarkStart w:id="37" w:name="_Toc74916195"/>
      <w:bookmarkStart w:id="38" w:name="_Toc106207093"/>
      <w:bookmarkStart w:id="39" w:name="_Toc36636326"/>
      <w:bookmarkStart w:id="40" w:name="_Toc137396870"/>
      <w:bookmarkStart w:id="41" w:name="_Toc58916119"/>
      <w:bookmarkStart w:id="42" w:name="_Toc115081095"/>
      <w:bookmarkStart w:id="43" w:name="_Toc122000046"/>
      <w:bookmarkStart w:id="44" w:name="_Toc176949627"/>
      <w:bookmarkStart w:id="45" w:name="_Toc53183407"/>
      <w:bookmarkStart w:id="46" w:name="_Toc187258434"/>
      <w:bookmarkStart w:id="47" w:name="_Toc45886362"/>
      <w:bookmarkStart w:id="48" w:name="_Toc29810965"/>
      <w:bookmarkStart w:id="49" w:name="_Toc37273272"/>
      <w:bookmarkStart w:id="50" w:name="_Toc98766938"/>
      <w:bookmarkStart w:id="51" w:name="_Toc99703301"/>
      <w:bookmarkStart w:id="52" w:name="_Toc66694170"/>
      <w:r>
        <w:t>I.1</w:t>
      </w:r>
      <w:r>
        <w:tab/>
      </w:r>
      <w: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C4B530F">
      <w: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50BE3C3E">
      <w:r>
        <w:t>When making TRP measurements the alignment between EUT and measurement antenna is important to achieve expected measurement uncertainty:</w:t>
      </w:r>
    </w:p>
    <w:p w14:paraId="53C268C1">
      <w:pPr>
        <w:pStyle w:val="54"/>
      </w:pPr>
      <w:r>
        <w:t>1.</w:t>
      </w:r>
      <w:r>
        <w:tab/>
      </w:r>
      <w:r>
        <w:t>The measurement antenna needs to be aligned tangential to the measurement surface forming a sphere around the EUT, in order to correctly measure the TRP properly.</w:t>
      </w:r>
    </w:p>
    <w:p w14:paraId="242BE0C6">
      <w:pPr>
        <w:pStyle w:val="54"/>
      </w:pPr>
      <w:r>
        <w:t>2.</w:t>
      </w:r>
      <w:r>
        <w:tab/>
      </w:r>
      <w:r>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70C9C552">
      <w:pPr>
        <w:pStyle w:val="54"/>
      </w:pPr>
      <w:r>
        <w:t>3.</w:t>
      </w:r>
      <w:r>
        <w:tab/>
      </w:r>
      <w:r>
        <w:t>Test methods described in clause I.5.3, I.6 and I.9 are designed to be independent of rotations of the angular grid, and hence angular alignment between the measurement grid and EUT is not needed.</w:t>
      </w:r>
    </w:p>
    <w:p w14:paraId="5913CFA1">
      <w:pPr>
        <w:pStyle w:val="2"/>
      </w:pPr>
      <w:bookmarkStart w:id="53" w:name="_Toc58916120"/>
      <w:bookmarkStart w:id="54" w:name="_Toc124154946"/>
      <w:bookmarkStart w:id="55" w:name="_Toc37273273"/>
      <w:bookmarkStart w:id="56" w:name="_Toc187258435"/>
      <w:bookmarkStart w:id="57" w:name="_Toc82536829"/>
      <w:bookmarkStart w:id="58" w:name="_Toc115081096"/>
      <w:bookmarkStart w:id="59" w:name="_Toc45886363"/>
      <w:bookmarkStart w:id="60" w:name="_Toc76544707"/>
      <w:bookmarkStart w:id="61" w:name="_Toc74916196"/>
      <w:bookmarkStart w:id="62" w:name="_Toc137396871"/>
      <w:bookmarkStart w:id="63" w:name="_Toc36636327"/>
      <w:bookmarkStart w:id="64" w:name="_Toc76114821"/>
      <w:bookmarkStart w:id="65" w:name="_Toc66694171"/>
      <w:bookmarkStart w:id="66" w:name="_Toc156578314"/>
      <w:bookmarkStart w:id="67" w:name="_Toc98766939"/>
      <w:bookmarkStart w:id="68" w:name="_Toc58918301"/>
      <w:bookmarkStart w:id="69" w:name="_Toc21103117"/>
      <w:bookmarkStart w:id="70" w:name="_Toc29810966"/>
      <w:bookmarkStart w:id="71" w:name="_Toc99703302"/>
      <w:bookmarkStart w:id="72" w:name="_Toc176949628"/>
      <w:bookmarkStart w:id="73" w:name="_Toc106207094"/>
      <w:bookmarkStart w:id="74" w:name="_Toc53183408"/>
      <w:bookmarkStart w:id="75" w:name="_Toc122000047"/>
      <w:bookmarkStart w:id="76" w:name="_Toc89953122"/>
      <w:r>
        <w:t>I.2</w:t>
      </w:r>
      <w:r>
        <w:tab/>
      </w:r>
      <w:r>
        <w:t>Spherical equal angle grid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81129E1">
      <w:pPr>
        <w:pStyle w:val="3"/>
      </w:pPr>
      <w:bookmarkStart w:id="77" w:name="_Toc76544708"/>
      <w:bookmarkStart w:id="78" w:name="_Toc98766940"/>
      <w:bookmarkStart w:id="79" w:name="_Toc53183409"/>
      <w:bookmarkStart w:id="80" w:name="_Toc58916121"/>
      <w:bookmarkStart w:id="81" w:name="_Toc74916197"/>
      <w:bookmarkStart w:id="82" w:name="_Toc176949629"/>
      <w:bookmarkStart w:id="83" w:name="_Toc37273274"/>
      <w:bookmarkStart w:id="84" w:name="_Toc82536830"/>
      <w:bookmarkStart w:id="85" w:name="_Toc89953123"/>
      <w:bookmarkStart w:id="86" w:name="_Toc45886364"/>
      <w:bookmarkStart w:id="87" w:name="_Toc124154947"/>
      <w:bookmarkStart w:id="88" w:name="_Toc137396872"/>
      <w:bookmarkStart w:id="89" w:name="_Toc115081097"/>
      <w:bookmarkStart w:id="90" w:name="_Toc66694172"/>
      <w:bookmarkStart w:id="91" w:name="_Toc187258436"/>
      <w:bookmarkStart w:id="92" w:name="_Toc99703303"/>
      <w:bookmarkStart w:id="93" w:name="_Toc36636328"/>
      <w:bookmarkStart w:id="94" w:name="_Toc21103118"/>
      <w:bookmarkStart w:id="95" w:name="_Toc58918302"/>
      <w:bookmarkStart w:id="96" w:name="_Toc76114822"/>
      <w:bookmarkStart w:id="97" w:name="_Toc106207095"/>
      <w:bookmarkStart w:id="98" w:name="_Toc156578315"/>
      <w:bookmarkStart w:id="99" w:name="_Toc122000048"/>
      <w:bookmarkStart w:id="100" w:name="_Toc29810967"/>
      <w:r>
        <w:rPr>
          <w:rFonts w:hint="eastAsia"/>
          <w:lang w:eastAsia="zh-CN"/>
        </w:rPr>
        <w:t>I.2.</w:t>
      </w:r>
      <w:r>
        <w:rPr>
          <w:lang w:eastAsia="zh-CN"/>
        </w:rPr>
        <w:t>1</w:t>
      </w:r>
      <w:r>
        <w:tab/>
      </w:r>
      <w:r>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5808722">
      <w:r>
        <w:t>TRP</w:t>
      </w:r>
      <w:r>
        <w:rPr>
          <w:vertAlign w:val="subscript"/>
        </w:rPr>
        <w:t>Estimate</w:t>
      </w:r>
      <w:r>
        <w:t xml:space="preserve"> is defined as</w:t>
      </w:r>
    </w:p>
    <w:p w14:paraId="5ECD20DB">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14:paraId="21A9A7A2">
      <w:r>
        <w:t>when EIRP measurements is used or as</w:t>
      </w:r>
    </w:p>
    <w:p w14:paraId="0490B84A">
      <w:pPr>
        <w:pStyle w:val="47"/>
      </w:pPr>
      <m:oMathPara>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=4</m:t>
          </m:r>
          <m:r>
            <m:rPr/>
            <w:rPr>
              <w:rFonts w:ascii="Cambria Math" w:hAnsi="Cambria Math"/>
            </w:rPr>
            <m:t>π</m:t>
          </m:r>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f>
            <m:fPr>
              <m:ctrlPr>
                <w:rPr>
                  <w:rFonts w:ascii="Cambria Math" w:hAnsi="Cambria Math"/>
                </w:rPr>
              </m:ctrlPr>
            </m:fPr>
            <m:num>
              <m:r>
                <m:rPr/>
                <w:rPr>
                  <w:rFonts w:ascii="Cambria Math" w:hAnsi="Cambria Math"/>
                </w:rPr>
                <m:t>π</m:t>
              </m:r>
              <m:ctrlPr>
                <w:rPr>
                  <w:rFonts w:ascii="Cambria Math" w:hAnsi="Cambria Math"/>
                </w:rPr>
              </m:ctrlPr>
            </m:num>
            <m:den>
              <m:r>
                <m:rPr>
                  <m:sty m:val="p"/>
                </m:rPr>
                <w:rPr>
                  <w:rFonts w:ascii="Cambria Math" w:hAnsi="Cambria Math"/>
                </w:rPr>
                <m:t>2</m:t>
              </m:r>
              <m:r>
                <m:rPr/>
                <w:rPr>
                  <w:rFonts w:ascii="Cambria Math" w:hAnsi="Cambria Math"/>
                </w:rPr>
                <m:t>NM</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nary>
                <m:naryPr>
                  <m:chr m:val="∑"/>
                  <m:limLoc m:val="subSup"/>
                  <m:ctrlPr>
                    <w:rPr>
                      <w:rFonts w:ascii="Cambria Math" w:hAnsi="Cambria Math"/>
                    </w:rPr>
                  </m:ctrlPr>
                </m:naryPr>
                <m:sub>
                  <m:r>
                    <m:rPr/>
                    <w:rPr>
                      <w:rFonts w:ascii="Cambria Math" w:hAnsi="Cambria Math"/>
                    </w:rPr>
                    <m:t>m</m:t>
                  </m:r>
                  <m:r>
                    <m:rPr>
                      <m:sty m:val="p"/>
                    </m:rPr>
                    <w:rPr>
                      <w:rFonts w:ascii="Cambria Math" w:hAnsi="Cambria Math"/>
                    </w:rPr>
                    <m:t>=0</m:t>
                  </m:r>
                  <m:ctrlPr>
                    <w:rPr>
                      <w:rFonts w:ascii="Cambria Math" w:hAnsi="Cambria Math"/>
                    </w:rPr>
                  </m:ctrlPr>
                </m:sub>
                <m:sup>
                  <m:r>
                    <m:rPr/>
                    <w:rPr>
                      <w:rFonts w:ascii="Cambria Math" w:hAnsi="Cambria Math"/>
                    </w:rPr>
                    <m:t>M</m:t>
                  </m:r>
                  <m:r>
                    <m:rPr>
                      <m:sty m:val="p"/>
                    </m:rPr>
                    <w:rPr>
                      <w:rFonts w:ascii="Cambria Math" w:hAnsi="Cambria Math"/>
                    </w:rPr>
                    <m:t>−1</m:t>
                  </m:r>
                  <m:ctrlPr>
                    <w:rPr>
                      <w:rFonts w:ascii="Cambria Math" w:hAnsi="Cambria Math"/>
                    </w:rPr>
                  </m:ctrlPr>
                </m:sup>
                <m:e>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m</m:t>
                      </m:r>
                      <m:ctrlPr>
                        <w:rPr>
                          <w:rFonts w:ascii="Cambria Math" w:hAnsi="Cambria Math"/>
                        </w:rPr>
                      </m:ctrlP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ctrlPr>
                        <w:rPr>
                          <w:rFonts w:ascii="Cambria Math" w:hAnsi="Cambria Math"/>
                        </w:rPr>
                      </m:ctrlPr>
                    </m:e>
                  </m:func>
                  <m:ctrlPr>
                    <w:rPr>
                      <w:rFonts w:ascii="Cambria Math" w:hAnsi="Cambria Math"/>
                    </w:rPr>
                  </m:ctrlPr>
                </m:e>
              </m:nary>
              <m:ctrlPr>
                <w:rPr>
                  <w:rFonts w:ascii="Cambria Math" w:hAnsi="Cambria Math"/>
                </w:rPr>
              </m:ctrlPr>
            </m:e>
          </m:nary>
        </m:oMath>
      </m:oMathPara>
    </w:p>
    <w:p w14:paraId="2A5F8A27">
      <w:r>
        <w:t xml:space="preserve">when power density measurements are used, and d is the test distance. N and M are the number of samples in the </w:t>
      </w:r>
      <m:oMath>
        <m:r>
          <m:rPr/>
          <w:rPr>
            <w:rFonts w:ascii="Cambria Math" w:hAnsi="Cambria Math"/>
          </w:rPr>
          <m:t>θ</m:t>
        </m:r>
      </m:oMath>
      <w:r>
        <w:t xml:space="preserve"> and </w:t>
      </w:r>
      <m:oMath>
        <m:r>
          <m:rPr/>
          <w:rPr>
            <w:rFonts w:ascii="Cambria Math" w:hAnsi="Cambria Math"/>
          </w:rPr>
          <m:t>ϕ</m:t>
        </m:r>
      </m:oMath>
      <w:r>
        <w:t xml:space="preserve"> angles.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m</m:t>
            </m:r>
            <m:ctrlPr>
              <w:rPr>
                <w:rFonts w:ascii="Cambria Math" w:hAnsi="Cambria Math"/>
                <w:i/>
              </w:rPr>
            </m:ctrlPr>
          </m:sub>
        </m:sSub>
      </m:oMath>
      <w:r>
        <w:t xml:space="preserve">) is a sampling point. The sampling angular intervals for </w:t>
      </w:r>
      <m:oMath>
        <m:r>
          <m:rPr/>
          <w:rPr>
            <w:rFonts w:ascii="Cambria Math" w:hAnsi="Cambria Math"/>
          </w:rPr>
          <m:t>θ</m:t>
        </m:r>
      </m:oMath>
      <w:r>
        <w:t xml:space="preserve"> and </w:t>
      </w:r>
      <m:oMath>
        <m:r>
          <m:rPr/>
          <w:rPr>
            <w:rFonts w:ascii="Cambria Math" w:hAnsi="Cambria Math"/>
          </w:rPr>
          <m:t>ϕ</m:t>
        </m:r>
      </m:oMath>
      <w:r>
        <w:t xml:space="preserve"> angles are </w:t>
      </w:r>
      <m:oMath>
        <m:r>
          <m:rPr>
            <m:sty m:val="p"/>
          </m:rPr>
          <w:rPr>
            <w:rFonts w:ascii="Cambria Math" w:hAnsi="Cambria Math"/>
          </w:rPr>
          <m:t>Δ</m:t>
        </m:r>
        <m:r>
          <m:rPr/>
          <w:rPr>
            <w:rFonts w:ascii="Cambria Math" w:hAnsi="Cambria Math"/>
          </w:rPr>
          <m:t>θ=</m:t>
        </m:r>
        <m:f>
          <m:fPr>
            <m:ctrlPr>
              <w:rPr>
                <w:rFonts w:ascii="Cambria Math" w:hAnsi="Cambria Math"/>
                <w:i/>
              </w:rPr>
            </m:ctrlPr>
          </m:fPr>
          <m:num>
            <m:r>
              <m:rPr/>
              <w:rPr>
                <w:rFonts w:ascii="Cambria Math" w:hAnsi="Cambria Math"/>
              </w:rPr>
              <m:t>π</m:t>
            </m:r>
            <m:ctrlPr>
              <w:rPr>
                <w:rFonts w:ascii="Cambria Math" w:hAnsi="Cambria Math"/>
                <w:i/>
              </w:rPr>
            </m:ctrlPr>
          </m:num>
          <m:den>
            <m:r>
              <m:rPr/>
              <w:rPr>
                <w:rFonts w:ascii="Cambria Math" w:hAnsi="Cambria Math"/>
              </w:rPr>
              <m:t>N</m:t>
            </m:r>
            <m:ctrlPr>
              <w:rPr>
                <w:rFonts w:ascii="Cambria Math" w:hAnsi="Cambria Math"/>
                <w:i/>
              </w:rPr>
            </m:ctrlPr>
          </m:den>
        </m:f>
      </m:oMath>
      <w:r>
        <w:t xml:space="preserve"> and </w:t>
      </w:r>
      <m:oMath>
        <m:r>
          <m:rPr>
            <m:sty m:val="p"/>
          </m:rPr>
          <w:rPr>
            <w:rFonts w:ascii="Cambria Math" w:hAnsi="Cambria Math"/>
          </w:rPr>
          <m:t>Δ</m:t>
        </m:r>
        <m:r>
          <m:rPr/>
          <w:rPr>
            <w:rFonts w:ascii="Cambria Math" w:hAnsi="Cambria Math"/>
          </w:rPr>
          <m:t>ϕ=</m:t>
        </m:r>
        <m:f>
          <m:fPr>
            <m:ctrlPr>
              <w:rPr>
                <w:rFonts w:ascii="Cambria Math" w:hAnsi="Cambria Math"/>
                <w:i/>
              </w:rPr>
            </m:ctrlPr>
          </m:fPr>
          <m:num>
            <m:r>
              <m:rPr/>
              <w:rPr>
                <w:rFonts w:ascii="Cambria Math" w:hAnsi="Cambria Math"/>
              </w:rPr>
              <m:t>2π</m:t>
            </m:r>
            <m:ctrlPr>
              <w:rPr>
                <w:rFonts w:ascii="Cambria Math" w:hAnsi="Cambria Math"/>
                <w:i/>
              </w:rPr>
            </m:ctrlPr>
          </m:num>
          <m:den>
            <m:r>
              <m:rPr/>
              <w:rPr>
                <w:rFonts w:ascii="Cambria Math" w:hAnsi="Cambria Math"/>
              </w:rPr>
              <m:t>M</m:t>
            </m:r>
            <m:ctrlPr>
              <w:rPr>
                <w:rFonts w:ascii="Cambria Math" w:hAnsi="Cambria Math"/>
                <w:i/>
              </w:rPr>
            </m:ctrlPr>
          </m:den>
        </m:f>
      </m:oMath>
      <w:r>
        <w:t xml:space="preserve">. The sampling intervals </w:t>
      </w:r>
      <m:oMath>
        <m:r>
          <m:rPr>
            <m:sty m:val="p"/>
          </m:rPr>
          <w:rPr>
            <w:rFonts w:ascii="Cambria Math" w:hAnsi="Cambria Math"/>
          </w:rPr>
          <m:t>Δ</m:t>
        </m:r>
        <m:r>
          <m:rPr/>
          <w:rPr>
            <w:rFonts w:ascii="Cambria Math" w:hAnsi="Cambria Math"/>
          </w:rPr>
          <m:t>θ</m:t>
        </m:r>
      </m:oMath>
      <w:r>
        <w:t xml:space="preserve"> and </w:t>
      </w:r>
      <m:oMath>
        <m:r>
          <m:rPr>
            <m:sty m:val="p"/>
          </m:rPr>
          <w:rPr>
            <w:rFonts w:ascii="Cambria Math" w:hAnsi="Cambria Math"/>
          </w:rPr>
          <m:t>Δ</m:t>
        </m:r>
        <m:r>
          <m:rPr/>
          <w:rPr>
            <w:rFonts w:ascii="Cambria Math" w:hAnsi="Cambria Math"/>
          </w:rPr>
          <m:t>ϕ</m:t>
        </m:r>
      </m:oMath>
      <w:r>
        <w:t xml:space="preserve"> are described in I.2.2.</w:t>
      </w:r>
    </w:p>
    <w:p w14:paraId="73BE17B7">
      <w:pPr>
        <w:pStyle w:val="3"/>
        <w:rPr>
          <w:lang w:eastAsia="zh-CN"/>
        </w:rPr>
      </w:pPr>
      <w:bookmarkStart w:id="101" w:name="_Toc76544709"/>
      <w:bookmarkStart w:id="102" w:name="_Toc124154948"/>
      <w:bookmarkStart w:id="103" w:name="_Toc29810968"/>
      <w:bookmarkStart w:id="104" w:name="_Toc137396873"/>
      <w:bookmarkStart w:id="105" w:name="_Toc66694173"/>
      <w:bookmarkStart w:id="106" w:name="_Toc187258437"/>
      <w:bookmarkStart w:id="107" w:name="_Toc106207096"/>
      <w:bookmarkStart w:id="108" w:name="_Toc45886365"/>
      <w:bookmarkStart w:id="109" w:name="_Toc99703304"/>
      <w:bookmarkStart w:id="110" w:name="_Toc82536831"/>
      <w:bookmarkStart w:id="111" w:name="_Toc53183410"/>
      <w:bookmarkStart w:id="112" w:name="_Toc176949630"/>
      <w:bookmarkStart w:id="113" w:name="_Toc58918303"/>
      <w:bookmarkStart w:id="114" w:name="_Toc122000049"/>
      <w:bookmarkStart w:id="115" w:name="_Toc156578316"/>
      <w:bookmarkStart w:id="116" w:name="_Toc98766941"/>
      <w:bookmarkStart w:id="117" w:name="_Toc89953124"/>
      <w:bookmarkStart w:id="118" w:name="_Toc36636329"/>
      <w:bookmarkStart w:id="119" w:name="_Toc37273275"/>
      <w:bookmarkStart w:id="120" w:name="_Toc21103119"/>
      <w:bookmarkStart w:id="121" w:name="_Toc115081098"/>
      <w:bookmarkStart w:id="122" w:name="_Toc76114823"/>
      <w:bookmarkStart w:id="123" w:name="_Toc74916198"/>
      <w:bookmarkStart w:id="124" w:name="_Toc58916122"/>
      <w:r>
        <w:rPr>
          <w:rFonts w:hint="eastAsia"/>
          <w:lang w:eastAsia="zh-CN"/>
        </w:rPr>
        <w:t>I.2.2</w:t>
      </w:r>
      <w:r>
        <w:tab/>
      </w:r>
      <w:r>
        <w:t>Reference angular step criteria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EA0BFBD">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ref</m:t>
            </m:r>
            <m:ctrlPr>
              <w:rPr>
                <w:rFonts w:ascii="Cambria Math" w:hAnsi="Cambria Math"/>
                <w:i/>
              </w:rPr>
            </m:ctrlPr>
          </m:sub>
        </m:sSub>
      </m:oMath>
      <w:r>
        <w:rPr>
          <w:rFonts w:eastAsia="MS Mincho"/>
          <w:lang w:val="en-US"/>
        </w:rPr>
        <w:t xml:space="preserve"> in degrees are defined as:</w:t>
      </w:r>
    </w:p>
    <w:p w14:paraId="674EF8AD">
      <w:pPr>
        <w:pStyle w:val="47"/>
      </w:pPr>
      <w:r>
        <w:rPr>
          <w:rFonts w:eastAsia="MS Mincho"/>
        </w:rPr>
        <w:tab/>
      </w:r>
      <m:oMath>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14:paraId="32C562BC">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m:rPr/>
              <w:rPr>
                <w:rFonts w:ascii="Cambria Math" w:hAnsi="Cambria Math"/>
              </w:rPr>
              <m:t>λ</m:t>
            </m:r>
            <m:ctrlPr>
              <w:rPr>
                <w:rFonts w:ascii="Cambria Math" w:hAnsi="Cambria Math"/>
              </w:rPr>
            </m:ctrlPr>
          </m:num>
          <m:den>
            <m:r>
              <m:rP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14:paraId="391E0EFA">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oMath>
      <w:r>
        <w:rPr>
          <w:lang w:val="en-US" w:eastAsia="zh-CN"/>
        </w:rPr>
        <w:t xml:space="preserve"> ensures a low Summation Error (SE) when </w:t>
      </w:r>
      <m:oMath>
        <m:r>
          <m:rP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r>
        <w:rPr>
          <w:rFonts w:hint="eastAsia"/>
          <w:lang w:val="en-US" w:eastAsia="zh-CN"/>
        </w:rPr>
        <w:t>EUT</w:t>
      </w:r>
      <w:r>
        <w:rPr>
          <w:lang w:val="en-US" w:eastAsia="zh-CN"/>
        </w:rPr>
        <w:t xml:space="preserve"> dimensions.</w:t>
      </w:r>
    </w:p>
    <w:p w14:paraId="653BC436">
      <w:pPr>
        <w:pStyle w:val="47"/>
        <w:rPr>
          <w:rFonts w:eastAsia="MS Mincho"/>
          <w:lang w:val="en-US"/>
        </w:rPr>
      </w:pPr>
      <w:r>
        <w:rPr>
          <w:rFonts w:eastAsia="MS Mincho"/>
        </w:rPr>
        <w:t>D</w:t>
      </w:r>
      <w:r>
        <w:rPr>
          <w:rFonts w:eastAsia="MS Mincho"/>
          <w:vertAlign w:val="subscript"/>
        </w:rPr>
        <w:t>cyl</w:t>
      </w:r>
      <w:r>
        <w:rPr>
          <w:rFonts w:eastAsia="MS Mincho"/>
          <w:lang w:val="en-US"/>
        </w:rPr>
        <w:t xml:space="preserve"> and D are calculated as:</w:t>
      </w:r>
    </w:p>
    <w:p w14:paraId="40E33FD5">
      <w:pPr>
        <w:pStyle w:val="47"/>
        <w:rPr>
          <w:rFonts w:eastAsia="MS Mincho"/>
          <w:lang w:val="en-US"/>
        </w:rPr>
      </w:pPr>
      <w:r>
        <w:rPr>
          <w:rFonts w:eastAsia="MS Mincho"/>
        </w:rPr>
        <w:t>`</w:t>
      </w:r>
      <w:r>
        <w:rPr>
          <w:rFonts w:eastAsia="MS Mincho"/>
        </w:rPr>
        <w:tab/>
      </w:r>
      <m:oMath>
        <m:sSub>
          <m:sSubPr>
            <m:ctrlPr>
              <w:rPr>
                <w:rFonts w:ascii="Cambria Math" w:hAnsi="Cambria Math"/>
              </w:rPr>
            </m:ctrlPr>
          </m:sSubPr>
          <m:e>
            <m:r>
              <m:rP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w:rPr>
                    <w:rFonts w:ascii="Cambria Math" w:hAnsi="Cambria Math"/>
                  </w:rPr>
                  <m:t>2</m:t>
                </m:r>
                <m:ctrlPr>
                  <w:rPr>
                    <w:rFonts w:ascii="Cambria Math" w:hAnsi="Cambria Math"/>
                  </w:rPr>
                </m:ctrlPr>
              </m:sup>
            </m:sSup>
            <m:r>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rad>
      </m:oMath>
    </w:p>
    <w:p w14:paraId="3EE64D2C">
      <w:pPr>
        <w:pStyle w:val="47"/>
        <w:rPr>
          <w:rFonts w:eastAsia="MS Mincho"/>
        </w:rPr>
      </w:pPr>
      <w:r>
        <w:rPr>
          <w:rFonts w:eastAsia="MS Mincho"/>
        </w:rPr>
        <w:tab/>
      </w:r>
      <m:oMath>
        <m:r>
          <m:rP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m:rP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m:rPr/>
                  <w:rPr>
                    <w:rFonts w:ascii="Cambria Math" w:hAnsi="Cambria Math"/>
                  </w:rPr>
                  <m:t>ℎ</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14:paraId="27CB7E2F">
      <w:pPr>
        <w:rPr>
          <w:lang w:val="en-US"/>
        </w:rPr>
      </w:pPr>
      <w:r>
        <w:rPr>
          <w:rFonts w:eastAsia="MS Mincho"/>
          <w:lang w:val="en-US"/>
        </w:rPr>
        <w:t xml:space="preserve">The definition of d, w and h is shown in figure I.2.2-1. </w:t>
      </w:r>
      <w:r>
        <w:rPr>
          <w:lang w:val="en-US"/>
        </w:rPr>
        <w:t>The radiation source can be EUT antenna array or the whole of EUT.</w:t>
      </w:r>
    </w:p>
    <w:p w14:paraId="44B4890C">
      <w:pPr>
        <w:pStyle w:val="49"/>
        <w:rPr>
          <w:lang w:val="en-US" w:eastAsia="zh-CN"/>
        </w:rPr>
      </w:pPr>
      <w:r>
        <w:rPr>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14:paraId="5CFA5F22">
      <w:pPr>
        <w:pStyle w:val="53"/>
        <w:rPr>
          <w:lang w:val="en-US"/>
        </w:rPr>
      </w:pPr>
      <w:r>
        <w:rPr>
          <w:lang w:val="en-US"/>
        </w:rPr>
        <w:t xml:space="preserve">Figure </w:t>
      </w:r>
      <w:r>
        <w:t>I.2.2-1</w:t>
      </w:r>
      <w:r>
        <w:rPr>
          <w:lang w:val="en-US"/>
        </w:rPr>
        <w:t>: Dimensions of a radiation source: depth (d), width (w) and height (h)</w:t>
      </w:r>
    </w:p>
    <w:p w14:paraId="0C208A06">
      <w:pPr>
        <w:rPr>
          <w:lang w:val="en-US" w:eastAsia="zh-CN"/>
        </w:rPr>
      </w:pPr>
      <w:r>
        <w:rPr>
          <w:lang w:val="en-US" w:eastAsia="zh-CN"/>
        </w:rPr>
        <w:t xml:space="preserve">Optionally, in the case of Uniform Linear Array (ULA), when d is negligible (d </w:t>
      </w:r>
      <m:oMath>
        <m:r>
          <m:rPr/>
          <w:rPr>
            <w:rFonts w:ascii="Cambria Math" w:hAnsi="Cambria Math"/>
            <w:lang w:val="en-US" w:eastAsia="zh-CN"/>
          </w:rPr>
          <m:t>≈0</m:t>
        </m:r>
      </m:oMath>
      <w:r>
        <w:rPr>
          <w:lang w:val="en-US" w:eastAsia="zh-CN"/>
        </w:rPr>
        <w:t xml:space="preserve">) and the </w:t>
      </w:r>
      <w:r>
        <w:rPr>
          <w:rFonts w:hint="eastAsia"/>
          <w:lang w:val="en-US" w:eastAsia="zh-CN"/>
        </w:rPr>
        <w:t>EUT is mounted along the yz plane as shown in figure I2.2-</w:t>
      </w:r>
      <w:r>
        <w:rPr>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w:t>
      </w:r>
      <w:r>
        <w:rPr>
          <w:lang w:val="en-US" w:eastAsia="zh-CN"/>
        </w:rPr>
        <w:t>s, in degrees,</w:t>
      </w:r>
      <w:r>
        <w:rPr>
          <w:rFonts w:hint="eastAsia"/>
          <w:lang w:val="en-US" w:eastAsia="zh-CN"/>
        </w:rPr>
        <w:t xml:space="preserve"> can be determined by</w:t>
      </w:r>
    </w:p>
    <w:p w14:paraId="2B04A4A8">
      <w:pPr>
        <w:pStyle w:val="47"/>
        <w:rPr>
          <w:lang w:val="en-US" w:eastAsia="zh-CN"/>
        </w:rPr>
      </w:pPr>
      <w:r>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15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w:rPr>
            <w:rFonts w:ascii="Cambria Math" w:hAnsi="Cambria Math"/>
            <w:lang w:val="en-US" w:eastAsia="zh-CN"/>
          </w:rPr>
          <m:t>)</m:t>
        </m:r>
      </m:oMath>
    </w:p>
    <w:p w14:paraId="6C2D8DC1">
      <w:pPr>
        <w:pStyle w:val="47"/>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m:rP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15</m:t>
            </m:r>
            <m:ctrlPr>
              <w:rPr>
                <w:rFonts w:ascii="Cambria Math" w:hAnsi="Cambria Math"/>
                <w:lang w:val="en-US" w:eastAsia="zh-CN"/>
              </w:rPr>
            </m:ctrlPr>
          </m:e>
          <m:sup>
            <m:r>
              <m:rPr/>
              <w:rPr>
                <w:rFonts w:ascii="Cambria Math" w:hAnsi="Cambria Math"/>
                <w:lang w:val="en-US" w:eastAsia="zh-CN"/>
              </w:rPr>
              <m:t>°</m:t>
            </m:r>
            <m:ctrlPr>
              <w:rPr>
                <w:rFonts w:ascii="Cambria Math" w:hAnsi="Cambria Math"/>
                <w:lang w:val="en-US" w:eastAsia="zh-CN"/>
              </w:rPr>
            </m:ctrlPr>
          </m:sup>
        </m:sSup>
        <m:r>
          <m:rPr>
            <m:sty m:val="p"/>
          </m:rPr>
          <w:rPr>
            <w:rFonts w:ascii="Cambria Math" w:hAnsi="Cambria Math"/>
            <w:lang w:val="en-US" w:eastAsia="zh-CN"/>
          </w:rPr>
          <m:t>)</m:t>
        </m:r>
      </m:oMath>
    </w:p>
    <w:p w14:paraId="55DA8478">
      <w:pP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Pr>
          <w:rFonts w:hint="eastAsia"/>
          <w:lang w:val="en-US" w:eastAsia="zh-CN"/>
        </w:rPr>
        <w:object>
          <v:shape id="_x0000_i1025" o:spt="75" type="#_x0000_t75" style="height:15.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eastAsia"/>
          <w:lang w:val="en-US" w:eastAsia="zh-CN"/>
        </w:rPr>
        <w:t xml:space="preserve"> is wavelength for the measured frequency.</w:t>
      </w:r>
    </w:p>
    <w:p w14:paraId="431CB6DB">
      <w:pPr>
        <w:pStyle w:val="49"/>
        <w:rPr>
          <w:lang w:val="en-US" w:eastAsia="zh-CN"/>
        </w:rPr>
      </w:pPr>
      <w:r>
        <w:rPr>
          <w:lang w:val="en-US" w:eastAsia="zh-CN"/>
        </w:rPr>
        <w:drawing>
          <wp:inline distT="0" distB="0" distL="0" distR="0">
            <wp:extent cx="2879725" cy="2879725"/>
            <wp:effectExtent l="0" t="0" r="15875" b="15875"/>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Fig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14:paraId="3F9FD3D0">
      <w:pPr>
        <w:pStyle w:val="53"/>
        <w:rPr>
          <w:lang w:val="en-US"/>
        </w:rPr>
      </w:pPr>
      <w:r>
        <w:rPr>
          <w:lang w:val="en-US"/>
        </w:rPr>
        <w:t xml:space="preserve">Figure </w:t>
      </w:r>
      <w:r>
        <w:rPr>
          <w:rFonts w:hint="eastAsia"/>
          <w:lang w:val="en-US" w:eastAsia="zh-CN"/>
        </w:rPr>
        <w:t>I2.2-</w:t>
      </w:r>
      <w:r>
        <w:rPr>
          <w:lang w:val="en-US" w:eastAsia="zh-CN"/>
        </w:rPr>
        <w:t>2:</w:t>
      </w:r>
      <w:r>
        <w:rPr>
          <w:lang w:val="en-US"/>
        </w:rPr>
        <w:t xml:space="preserve"> Spherical coordinate for OTA conformance testing of EUT</w:t>
      </w:r>
    </w:p>
    <w:p w14:paraId="718DADBF">
      <w:pPr>
        <w:rPr>
          <w:rFonts w:ascii="Cambria Math" w:hAnsi="Cambria Math"/>
          <w:i/>
          <w:lang w:val="en-US"/>
        </w:rPr>
      </w:pPr>
      <w:r>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rPr>
        <w:t xml:space="preserve">sparsity </w:t>
      </w:r>
      <w:r>
        <w:rPr>
          <w:rFonts w:hint="eastAsia"/>
          <w:lang w:val="en-US" w:eastAsia="zh-CN"/>
        </w:rPr>
        <w:t>factor)</w:t>
      </w:r>
      <w:r>
        <w:rPr>
          <w:lang w:val="en-US" w:eastAsia="zh-CN"/>
        </w:rPr>
        <w:t xml:space="preserve"> </w:t>
      </w:r>
      <w:r>
        <w:rPr>
          <w:rFonts w:eastAsia="MS Mincho"/>
        </w:rPr>
        <w:t>of the grid is defined as</w:t>
      </w:r>
    </w:p>
    <w:p w14:paraId="634F7AC3">
      <w:pPr>
        <w:pStyle w:val="47"/>
        <w:rPr>
          <w:lang w:val="en-US"/>
        </w:rPr>
      </w:pPr>
      <w:r>
        <w:rPr>
          <w:lang w:eastAsia="zh-CN"/>
        </w:rPr>
        <w:tab/>
      </w:r>
      <m:oMath>
        <m:r>
          <m:rP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Δθ</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w:rPr>
                        <w:rFonts w:ascii="Cambria Math" w:hAnsi="Cambria Math"/>
                        <w:lang w:eastAsia="zh-CN"/>
                      </w:rPr>
                      <m:t>Δ</m:t>
                    </m:r>
                    <m:sSub>
                      <m:sSubPr>
                        <m:ctrlPr>
                          <w:rPr>
                            <w:rFonts w:ascii="Cambria Math" w:hAnsi="Cambria Math"/>
                            <w:lang w:eastAsia="zh-CN"/>
                          </w:rPr>
                        </m:ctrlPr>
                      </m:sSubPr>
                      <m:e>
                        <m:r>
                          <m:rPr/>
                          <w:rPr>
                            <w:rFonts w:ascii="Cambria Math" w:hAnsi="Cambria Math"/>
                            <w:lang w:eastAsia="zh-CN"/>
                          </w:rPr>
                          <m:t>θ</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w:rPr>
                            <w:rFonts w:ascii="Cambria Math" w:hAnsi="Cambria Math"/>
                            <w:lang w:eastAsia="zh-CN"/>
                          </w:rPr>
                          <m:t>Δϕ</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sSub>
                      <m:sSubPr>
                        <m:ctrlPr>
                          <w:rPr>
                            <w:rFonts w:ascii="Cambria Math" w:hAnsi="Cambria Math"/>
                            <w:lang w:eastAsia="zh-CN"/>
                          </w:rPr>
                        </m:ctrlPr>
                      </m:sSubPr>
                      <m:e>
                        <m:r>
                          <m:rPr/>
                          <w:rPr>
                            <w:rFonts w:ascii="Cambria Math" w:hAnsi="Cambria Math"/>
                            <w:lang w:eastAsia="zh-CN"/>
                          </w:rPr>
                          <m:t>Δϕ</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14:paraId="1C6EC47F">
      <w:pPr>
        <w:rPr>
          <w:rFonts w:eastAsia="MS Mincho"/>
          <w:lang w:val="en-US"/>
        </w:rPr>
      </w:pPr>
      <w:r>
        <w:rPr>
          <w:rFonts w:eastAsia="MS Mincho"/>
        </w:rPr>
        <w:t xml:space="preserve">Where </w:t>
      </w:r>
      <m:oMath>
        <m:sSub>
          <m:sSubPr>
            <m:ctrlPr>
              <w:rPr>
                <w:rFonts w:ascii="Cambria Math" w:hAnsi="Cambria Math"/>
                <w:i/>
                <w:lang w:eastAsia="zh-CN"/>
              </w:rPr>
            </m:ctrlPr>
          </m:sSubPr>
          <m:e>
            <m:r>
              <m:rPr/>
              <w:rPr>
                <w:rFonts w:ascii="Cambria Math" w:hAnsi="Cambria Math"/>
                <w:lang w:eastAsia="zh-CN"/>
              </w:rPr>
              <m:t>Δθ</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r>
          <m:rP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m:rPr/>
              <w:rPr>
                <w:rFonts w:ascii="Cambria Math" w:hAnsi="Cambria Math"/>
                <w:lang w:eastAsia="zh-CN"/>
              </w:rPr>
              <m:t>Δϕ</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14:paraId="0A6BE2FD">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r>
        <w:t>Δf</w:t>
      </w:r>
      <w:r>
        <w:rPr>
          <w:vertAlign w:val="subscript"/>
        </w:rPr>
        <w:t>OBUE</w:t>
      </w:r>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14:paraId="67EFB0A4">
      <w:pPr>
        <w:pStyle w:val="47"/>
      </w:pPr>
      <w:r>
        <w:rPr>
          <w:rFonts w:eastAsia="MS Mincho"/>
        </w:rPr>
        <w:tab/>
      </w:r>
      <m:oMath>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ϕ</m:t>
            </m:r>
            <m:ctrlPr>
              <w:rPr>
                <w:rFonts w:ascii="Cambria Math" w:hAnsi="Cambria Math"/>
              </w:rPr>
            </m:ctrlPr>
          </m:sub>
        </m:sSub>
      </m:oMath>
    </w:p>
    <w:p w14:paraId="21E34861">
      <w:pPr>
        <w:pStyle w:val="47"/>
      </w:pPr>
      <w:r>
        <w:tab/>
      </w:r>
      <m:oMath>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m:rPr/>
              <w:rPr>
                <w:rFonts w:ascii="Cambria Math" w:hAnsi="Cambria Math"/>
              </w:rPr>
              <m:t>λ</m:t>
            </m:r>
            <m:ctrlPr>
              <w:rPr>
                <w:rFonts w:ascii="Cambria Math" w:hAnsi="Cambria Math"/>
              </w:rPr>
            </m:ctrlPr>
          </m:num>
          <m:den>
            <m:sSub>
              <m:sSubPr>
                <m:ctrlPr>
                  <w:rPr>
                    <w:rFonts w:ascii="Cambria Math" w:hAnsi="Cambria Math"/>
                  </w:rPr>
                </m:ctrlPr>
              </m:sSubPr>
              <m:e>
                <m:r>
                  <m:rPr/>
                  <w:rPr>
                    <w:rFonts w:ascii="Cambria Math" w:hAnsi="Cambria Math"/>
                  </w:rPr>
                  <m:t>λ</m:t>
                </m:r>
                <m:ctrlPr>
                  <w:rPr>
                    <w:rFonts w:ascii="Cambria Math" w:hAnsi="Cambria Math"/>
                  </w:rPr>
                </m:ctrlPr>
              </m:e>
              <m:sub>
                <m:r>
                  <m:rP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m:rPr/>
              <w:rPr>
                <w:rFonts w:ascii="Cambria Math" w:hAnsi="Cambria Math"/>
              </w:rPr>
              <m:t>BeW</m:t>
            </m:r>
            <m:ctrlPr>
              <w:rPr>
                <w:rFonts w:ascii="Cambria Math" w:hAnsi="Cambria Math"/>
              </w:rPr>
            </m:ctrlPr>
          </m:e>
          <m:sub>
            <m:r>
              <m:rPr/>
              <w:rPr>
                <w:rFonts w:ascii="Cambria Math" w:hAnsi="Cambria Math"/>
              </w:rPr>
              <m:t>θ</m:t>
            </m:r>
            <m:ctrlPr>
              <w:rPr>
                <w:rFonts w:ascii="Cambria Math" w:hAnsi="Cambria Math"/>
              </w:rPr>
            </m:ctrlPr>
          </m:sub>
        </m:sSub>
      </m:oMath>
    </w:p>
    <w:p w14:paraId="2648EE66">
      <w:pPr>
        <w:rPr>
          <w:lang w:val="en-US" w:eastAsia="zh-CN"/>
        </w:rPr>
      </w:pPr>
      <w:r>
        <w:rPr>
          <w:rFonts w:eastAsia="MS Mincho"/>
          <w:lang w:val="en-US"/>
        </w:rPr>
        <w:t xml:space="preserve">where </w:t>
      </w:r>
      <w:r>
        <w:t>λ</w:t>
      </w:r>
      <w:r>
        <w:rPr>
          <w:vertAlign w:val="subscript"/>
        </w:rPr>
        <w:t>o</w:t>
      </w:r>
      <w:r>
        <w:t xml:space="preserve"> is the wavelength of the wanted signal, and BeW</w:t>
      </w:r>
      <w:r>
        <w:rPr>
          <w:rFonts w:ascii="Calibri" w:hAnsi="Calibri"/>
          <w:vertAlign w:val="subscript"/>
          <w:lang w:val="en-US" w:eastAsia="zh-CN"/>
        </w:rPr>
        <w:t>φ</w:t>
      </w:r>
      <w:r>
        <w:t xml:space="preserve"> and BeW</w:t>
      </w:r>
      <w:r>
        <w:rPr>
          <w:rFonts w:ascii="Calibri" w:hAnsi="Calibri"/>
          <w:vertAlign w:val="subscript"/>
          <w:lang w:val="en-US" w:eastAsia="zh-CN"/>
        </w:rPr>
        <w:t>θ</w:t>
      </w:r>
      <w:r>
        <w:t xml:space="preserve"> are the </w:t>
      </w:r>
      <w:r>
        <w:rPr>
          <w:i/>
        </w:rPr>
        <w:t>beamwidth</w:t>
      </w:r>
      <w:r>
        <w:t xml:space="preserve"> of the wanted signal in the</w:t>
      </w:r>
      <w:r>
        <w:rPr>
          <w:rFonts w:ascii="Calibri" w:hAnsi="Calibri"/>
          <w:lang w:val="en-US" w:eastAsia="zh-CN"/>
        </w:rPr>
        <w:t xml:space="preserve"> φ</w:t>
      </w:r>
      <w:r>
        <w:rPr>
          <w:lang w:val="en-US" w:eastAsia="zh-CN"/>
        </w:rPr>
        <w:t>-axis and</w:t>
      </w:r>
      <w:r>
        <w:t xml:space="preserve"> </w:t>
      </w:r>
      <w:r>
        <w:rPr>
          <w:rFonts w:ascii="Calibri" w:hAnsi="Calibri"/>
          <w:lang w:val="en-US" w:eastAsia="zh-CN"/>
        </w:rPr>
        <w:t>θ</w:t>
      </w:r>
      <w:r>
        <w:rPr>
          <w:lang w:val="en-US" w:eastAsia="zh-CN"/>
        </w:rPr>
        <w:t>-axis, respectively.</w:t>
      </w:r>
    </w:p>
    <w:p w14:paraId="56EE75D4">
      <w:pPr>
        <w:rPr>
          <w:lang w:eastAsia="zh-CN"/>
        </w:rPr>
      </w:pPr>
      <w:r>
        <w:t>BeW</w:t>
      </w:r>
      <w:r>
        <w:rPr>
          <w:rFonts w:ascii="Calibri" w:hAnsi="Calibri"/>
          <w:vertAlign w:val="subscript"/>
          <w:lang w:val="en-US" w:eastAsia="zh-CN"/>
        </w:rPr>
        <w:t>φ</w:t>
      </w:r>
      <w: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14:paraId="152B1764">
      <w:pPr>
        <w:pStyle w:val="45"/>
      </w:pPr>
      <w:r>
        <w:t>NOTE:</w:t>
      </w:r>
      <w:r>
        <w:tab/>
      </w:r>
      <w:r>
        <w:rPr>
          <w:i/>
          <w:iCs/>
        </w:rPr>
        <w:t xml:space="preserve">Beamwidth </w:t>
      </w:r>
      <w:r>
        <w:t>is approximately equal to half the first-null beam width.</w:t>
      </w:r>
    </w:p>
    <w:p w14:paraId="312D14D8">
      <w:pPr>
        <w:pStyle w:val="2"/>
      </w:pPr>
      <w:bookmarkStart w:id="125" w:name="_Toc124154949"/>
      <w:bookmarkStart w:id="126" w:name="_Toc137396874"/>
      <w:bookmarkStart w:id="127" w:name="_Toc21103120"/>
      <w:bookmarkStart w:id="128" w:name="_Toc106207097"/>
      <w:bookmarkStart w:id="129" w:name="_Toc176949631"/>
      <w:bookmarkStart w:id="130" w:name="_Toc45886366"/>
      <w:bookmarkStart w:id="131" w:name="_Toc187258438"/>
      <w:bookmarkStart w:id="132" w:name="_Toc76114824"/>
      <w:bookmarkStart w:id="133" w:name="_Toc36636330"/>
      <w:bookmarkStart w:id="134" w:name="_Toc76544710"/>
      <w:bookmarkStart w:id="135" w:name="_Toc99703305"/>
      <w:bookmarkStart w:id="136" w:name="_Toc89953125"/>
      <w:bookmarkStart w:id="137" w:name="_Toc58916123"/>
      <w:bookmarkStart w:id="138" w:name="_Toc74916199"/>
      <w:bookmarkStart w:id="139" w:name="_Toc66694174"/>
      <w:bookmarkStart w:id="140" w:name="_Toc156578317"/>
      <w:bookmarkStart w:id="141" w:name="_Toc98766942"/>
      <w:bookmarkStart w:id="142" w:name="_Toc58918304"/>
      <w:bookmarkStart w:id="143" w:name="_Toc115081099"/>
      <w:bookmarkStart w:id="144" w:name="_Toc122000050"/>
      <w:bookmarkStart w:id="145" w:name="_Toc53183411"/>
      <w:bookmarkStart w:id="146" w:name="_Toc29810969"/>
      <w:bookmarkStart w:id="147" w:name="_Toc82536832"/>
      <w:bookmarkStart w:id="148" w:name="_Toc37273276"/>
      <w:r>
        <w:t>I.3</w:t>
      </w:r>
      <w:r>
        <w:tab/>
      </w:r>
      <w:r>
        <w:t>Spherical equal area grid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985812E">
      <w:r>
        <w:t>TRP</w:t>
      </w:r>
      <w:r>
        <w:rPr>
          <w:vertAlign w:val="subscript"/>
        </w:rPr>
        <w:t>Estimate</w:t>
      </w:r>
      <w:r>
        <w:t xml:space="preserve"> is defined as</w:t>
      </w:r>
    </w:p>
    <w:p w14:paraId="01B98BF8">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14:paraId="16AA6F8F">
      <w:r>
        <w:t>N is the total number of samples and specified as</w:t>
      </w:r>
    </w:p>
    <w:p w14:paraId="238684D6">
      <w:pPr>
        <w:pStyle w:val="47"/>
      </w:pPr>
      <w:r>
        <w:tab/>
      </w:r>
      <w:r>
        <w:rPr>
          <w:rFonts w:eastAsia="宋体"/>
        </w:rPr>
        <w:object>
          <v:shape id="_x0000_i1026" o:spt="75" type="#_x0000_t75" style="height:35.5pt;width:77.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p>
    <w:p w14:paraId="05F41876">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is a sampling point.</w:t>
      </w:r>
    </w:p>
    <w:p w14:paraId="7A142303">
      <w:pPr>
        <w:pStyle w:val="2"/>
      </w:pPr>
      <w:bookmarkStart w:id="149" w:name="_Toc99703306"/>
      <w:bookmarkStart w:id="150" w:name="_Toc106207098"/>
      <w:bookmarkStart w:id="151" w:name="_Toc76114825"/>
      <w:bookmarkStart w:id="152" w:name="_Toc45886367"/>
      <w:bookmarkStart w:id="153" w:name="_Toc124154950"/>
      <w:bookmarkStart w:id="154" w:name="_Toc74916200"/>
      <w:bookmarkStart w:id="155" w:name="_Toc58918305"/>
      <w:bookmarkStart w:id="156" w:name="_Toc37273277"/>
      <w:bookmarkStart w:id="157" w:name="_Toc21103121"/>
      <w:bookmarkStart w:id="158" w:name="_Toc115081100"/>
      <w:bookmarkStart w:id="159" w:name="_Toc29810970"/>
      <w:bookmarkStart w:id="160" w:name="_Toc122000051"/>
      <w:bookmarkStart w:id="161" w:name="_Toc187258439"/>
      <w:bookmarkStart w:id="162" w:name="_Toc58916124"/>
      <w:bookmarkStart w:id="163" w:name="_Toc89953126"/>
      <w:bookmarkStart w:id="164" w:name="_Toc36636331"/>
      <w:bookmarkStart w:id="165" w:name="_Toc66694175"/>
      <w:bookmarkStart w:id="166" w:name="_Toc137396875"/>
      <w:bookmarkStart w:id="167" w:name="_Toc82536833"/>
      <w:bookmarkStart w:id="168" w:name="_Toc98766943"/>
      <w:bookmarkStart w:id="169" w:name="_Toc176949632"/>
      <w:bookmarkStart w:id="170" w:name="_Toc76544711"/>
      <w:bookmarkStart w:id="171" w:name="_Toc53183412"/>
      <w:bookmarkStart w:id="172" w:name="_Toc156578318"/>
      <w:r>
        <w:t>I.4</w:t>
      </w:r>
      <w:r>
        <w:tab/>
      </w:r>
      <w:r>
        <w:t>Spherical Fibonacci grid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1902C2A">
      <w:r>
        <w:t>TRP</w:t>
      </w:r>
      <w:r>
        <w:rPr>
          <w:vertAlign w:val="subscript"/>
        </w:rPr>
        <w:t>Estimate</w:t>
      </w:r>
      <w:r>
        <w:t xml:space="preserve"> is defined as</w:t>
      </w:r>
    </w:p>
    <w:p w14:paraId="42FB2DAF">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undOvr"/>
            <m:ctrlPr>
              <w:rPr>
                <w:rFonts w:ascii="Cambria Math" w:hAnsi="Cambria Math"/>
              </w:rPr>
            </m:ctrlPr>
          </m:naryPr>
          <m:sub>
            <m:r>
              <m:rPr/>
              <w:rPr>
                <w:rFonts w:ascii="Cambria Math" w:hAnsi="Cambria Math"/>
              </w:rPr>
              <m:t>n</m:t>
            </m:r>
            <m:r>
              <m:rPr>
                <m:sty m:val="p"/>
              </m:rPr>
              <w:rPr>
                <w:rFonts w:ascii="Cambria Math" w:hAnsi="Cambria Math"/>
              </w:rPr>
              <m:t>=0</m:t>
            </m:r>
            <m:ctrlPr>
              <w:rPr>
                <w:rFonts w:ascii="Cambria Math" w:hAnsi="Cambria Math"/>
              </w:rPr>
            </m:ctrlPr>
          </m:sub>
          <m:sup>
            <m:r>
              <m:rPr/>
              <w:rPr>
                <w:rFonts w:ascii="Cambria Math" w:hAnsi="Cambria Math"/>
              </w:rPr>
              <m:t>N</m:t>
            </m:r>
            <m:r>
              <m:rPr>
                <m:sty m:val="p"/>
              </m:rPr>
              <w:rPr>
                <w:rFonts w:ascii="Cambria Math" w:hAnsi="Cambria Math"/>
              </w:rPr>
              <m:t>−1</m:t>
            </m:r>
            <m:ctrlPr>
              <w:rPr>
                <w:rFonts w:ascii="Cambria Math" w:hAnsi="Cambria Math"/>
              </w:rPr>
            </m:ctrlPr>
          </m:sup>
          <m:e>
            <m:r>
              <m:rPr/>
              <w:rPr>
                <w:rFonts w:ascii="Cambria Math" w:hAnsi="Cambria Math"/>
              </w:rPr>
              <m:t>EIRP</m:t>
            </m:r>
            <m:r>
              <m:rPr>
                <m:sty m:val="p"/>
              </m:rPr>
              <w:rPr>
                <w:rFonts w:ascii="Cambria Math" w:hAnsi="Cambria Math"/>
              </w:rPr>
              <m:t>(</m:t>
            </m:r>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ctrlPr>
              <w:rPr>
                <w:rFonts w:ascii="Cambria Math" w:hAnsi="Cambria Math"/>
              </w:rPr>
            </m:ctrlPr>
          </m:e>
        </m:nary>
      </m:oMath>
    </w:p>
    <w:p w14:paraId="5D78DA1C">
      <w:r>
        <w:rPr>
          <w:i/>
        </w:rPr>
        <w:t>N</w:t>
      </w:r>
      <w:r>
        <w:t xml:space="preserve"> is the total number of samples and specified as</w:t>
      </w:r>
    </w:p>
    <w:p w14:paraId="00543E77">
      <w:pPr>
        <w:pStyle w:val="47"/>
      </w:pPr>
      <w:r>
        <w:tab/>
      </w:r>
      <w:r>
        <w:rPr>
          <w:rFonts w:eastAsia="宋体"/>
        </w:rPr>
        <w:object>
          <v:shape id="_x0000_i1027" o:spt="75" type="#_x0000_t75" style="height:35.5pt;width:77.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4">
            <o:LockedField>false</o:LockedField>
          </o:OLEObject>
        </w:object>
      </w:r>
    </w:p>
    <w:p w14:paraId="1DBA0E58">
      <w:r>
        <w:t xml:space="preserve">The sampling intervals </w:t>
      </w:r>
      <m:oMath>
        <m:sSub>
          <m:sSubPr>
            <m:ctrlPr>
              <w:rPr>
                <w:rFonts w:ascii="Cambria Math" w:hAnsi="Cambria Math"/>
              </w:rPr>
            </m:ctrlPr>
          </m:sSubPr>
          <m:e>
            <m:r>
              <m:rPr>
                <m:sty m:val="p"/>
              </m:rPr>
              <w:rPr>
                <w:rFonts w:ascii="Cambria Math" w:hAnsi="Cambria Math"/>
              </w:rPr>
              <m:t>Δ</m:t>
            </m:r>
            <m:r>
              <m:rPr/>
              <w:rPr>
                <w:rFonts w:ascii="Cambria Math" w:hAnsi="Cambria Math"/>
              </w:rPr>
              <m:t>θ</m:t>
            </m:r>
            <m:ctrlPr>
              <w:rPr>
                <w:rFonts w:ascii="Cambria Math" w:hAnsi="Cambria Math"/>
              </w:rPr>
            </m:ctrlPr>
          </m:e>
          <m:sub>
            <m:r>
              <m:rPr/>
              <w:rPr>
                <w:rFonts w:ascii="Cambria Math" w:hAnsi="Cambria Math"/>
              </w:rPr>
              <m:t>ref</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Δ</m:t>
            </m:r>
            <m:r>
              <m:rPr/>
              <w:rPr>
                <w:rFonts w:ascii="Cambria Math" w:hAnsi="Cambria Math"/>
              </w:rPr>
              <m:t>ϕ</m:t>
            </m:r>
            <m:ctrlPr>
              <w:rPr>
                <w:rFonts w:ascii="Cambria Math" w:hAnsi="Cambria Math"/>
              </w:rPr>
            </m:ctrlPr>
          </m:e>
          <m:sub>
            <m:r>
              <m:rPr/>
              <w:rPr>
                <w:rFonts w:ascii="Cambria Math" w:hAnsi="Cambria Math"/>
              </w:rPr>
              <m:t>ref</m:t>
            </m:r>
            <m:ctrlPr>
              <w:rPr>
                <w:rFonts w:ascii="Cambria Math" w:hAnsi="Cambria Math"/>
              </w:rPr>
            </m:ctrlPr>
          </m:sub>
        </m:sSub>
      </m:oMath>
      <w:r>
        <w:t xml:space="preserve"> are described in annex I.2.2. Each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xml:space="preserve">) is a sampling point, where </w:t>
      </w:r>
      <m:oMath>
        <m:sSub>
          <m:sSubPr>
            <m:ctrlPr>
              <w:rPr>
                <w:rFonts w:ascii="Cambria Math" w:hAnsi="Cambria Math"/>
                <w:i/>
              </w:rPr>
            </m:ctrlPr>
          </m:sSubPr>
          <m:e>
            <m:r>
              <m:rPr/>
              <w:rPr>
                <w:rFonts w:ascii="Cambria Math" w:hAnsi="Cambria Math"/>
              </w:rPr>
              <m:t>θ</m:t>
            </m:r>
            <m:ctrlPr>
              <w:rPr>
                <w:rFonts w:ascii="Cambria Math" w:hAnsi="Cambria Math"/>
                <w:i/>
              </w:rPr>
            </m:ctrlPr>
          </m:e>
          <m:sub>
            <m:r>
              <m:rPr/>
              <w:rPr>
                <w:rFonts w:ascii="Cambria Math" w:hAnsi="Cambria Math"/>
              </w:rPr>
              <m:t>n</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ϕ</m:t>
            </m:r>
            <m:ctrlPr>
              <w:rPr>
                <w:rFonts w:ascii="Cambria Math" w:hAnsi="Cambria Math"/>
                <w:i/>
              </w:rPr>
            </m:ctrlPr>
          </m:e>
          <m:sub>
            <m:r>
              <m:rPr/>
              <w:rPr>
                <w:rFonts w:ascii="Cambria Math" w:hAnsi="Cambria Math"/>
              </w:rPr>
              <m:t>n</m:t>
            </m:r>
            <m:ctrlPr>
              <w:rPr>
                <w:rFonts w:ascii="Cambria Math" w:hAnsi="Cambria Math"/>
                <w:i/>
              </w:rPr>
            </m:ctrlPr>
          </m:sub>
        </m:sSub>
      </m:oMath>
      <w:r>
        <w:t>, in degrees, are defined as:</w:t>
      </w:r>
    </w:p>
    <w:p w14:paraId="12679EF2">
      <m:oMathPara>
        <m:oMath>
          <m:sSub>
            <m:sSubPr>
              <m:ctrlPr>
                <w:rPr>
                  <w:rFonts w:ascii="Cambria Math" w:hAnsi="Cambria Math"/>
                </w:rPr>
              </m:ctrlPr>
            </m:sSubPr>
            <m:e>
              <m:r>
                <m:rPr/>
                <w:rPr>
                  <w:rFonts w:ascii="Cambria Math" w:hAnsi="Cambria Math"/>
                </w:rPr>
                <m:t>θ</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ctrlPr>
                    <w:rPr>
                      <w:rFonts w:ascii="Cambria Math" w:hAnsi="Cambria Math"/>
                    </w:rPr>
                  </m:ctrlPr>
                </m:e>
                <m:sup>
                  <m:r>
                    <m:rPr>
                      <m:sty m:val="p"/>
                    </m:rPr>
                    <w:rPr>
                      <w:rFonts w:ascii="Cambria Math" w:hAnsi="Cambria Math"/>
                    </w:rPr>
                    <m:t>−1</m:t>
                  </m:r>
                  <m:ctrlPr>
                    <w:rPr>
                      <w:rFonts w:ascii="Cambria Math" w:hAnsi="Cambria Math"/>
                    </w:rPr>
                  </m:ctrlPr>
                </m:sup>
              </m:sSup>
              <m:ctrlPr>
                <w:rPr>
                  <w:rFonts w:ascii="Cambria Math" w:hAnsi="Cambria Math"/>
                </w:rPr>
              </m:ctrlPr>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m:rPr/>
                        <w:rPr>
                          <w:rFonts w:ascii="Cambria Math" w:hAnsi="Cambria Math"/>
                        </w:rPr>
                        <m:t>n</m:t>
                      </m:r>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ctrlPr>
                <w:rPr>
                  <w:rFonts w:ascii="Cambria Math" w:hAnsi="Cambria Math"/>
                </w:rPr>
              </m:ctrlPr>
            </m:e>
          </m:func>
        </m:oMath>
      </m:oMathPara>
    </w:p>
    <w:p w14:paraId="48EF6164">
      <m:oMathPara>
        <m:oMath>
          <m:sSub>
            <m:sSubPr>
              <m:ctrlPr>
                <w:rPr>
                  <w:rFonts w:ascii="Cambria Math" w:hAnsi="Cambria Math"/>
                </w:rPr>
              </m:ctrlPr>
            </m:sSubPr>
            <m:e>
              <m:r>
                <m:rPr/>
                <w:rPr>
                  <w:rFonts w:ascii="Cambria Math" w:hAnsi="Cambria Math"/>
                </w:rPr>
                <m:t>ϕ</m:t>
              </m:r>
              <m:ctrlPr>
                <w:rPr>
                  <w:rFonts w:ascii="Cambria Math" w:hAnsi="Cambria Math"/>
                </w:rPr>
              </m:ctrlPr>
            </m:e>
            <m:sub>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ctrlPr>
                    <w:rPr>
                      <w:rFonts w:ascii="Cambria Math" w:hAnsi="Cambria Math"/>
                    </w:rPr>
                  </m:ctrlPr>
                </m:e>
                <m:sup>
                  <m:r>
                    <m:rPr>
                      <m:sty m:val="p"/>
                    </m:rPr>
                    <w:rPr>
                      <w:rFonts w:ascii="Cambria Math" w:hAnsi="Cambria Math"/>
                    </w:rPr>
                    <m:t>°</m:t>
                  </m:r>
                  <m:ctrlPr>
                    <w:rPr>
                      <w:rFonts w:ascii="Cambria Math" w:hAnsi="Cambria Math"/>
                    </w:rPr>
                  </m:ctrlPr>
                </m:sup>
              </m:sSup>
              <m:r>
                <m:rPr/>
                <w:rPr>
                  <w:rFonts w:ascii="Cambria Math" w:hAnsi="Cambria Math"/>
                </w:rPr>
                <m:t>n</m:t>
              </m:r>
              <m:ctrlPr>
                <w:rPr>
                  <w:rFonts w:ascii="Cambria Math" w:hAnsi="Cambria Math"/>
                </w:rPr>
              </m:ctrlPr>
            </m:num>
            <m:den>
              <m:r>
                <m:rPr>
                  <m:sty m:val="p"/>
                </m:rPr>
                <w:rPr>
                  <w:rFonts w:ascii="Cambria Math" w:hAnsi="Cambria Math"/>
                </w:rPr>
                <m:t>Ψ</m:t>
              </m:r>
              <m:ctrlPr>
                <w:rPr>
                  <w:rFonts w:ascii="Cambria Math" w:hAnsi="Cambria Math"/>
                </w:rPr>
              </m:ctrlP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ctrlPr>
                    <w:rPr>
                      <w:rFonts w:ascii="Cambria Math" w:hAnsi="Cambria Math"/>
                    </w:rPr>
                  </m:ctrlPr>
                </m:deg>
                <m:e>
                  <m:r>
                    <m:rPr>
                      <m:sty m:val="p"/>
                    </m:rPr>
                    <w:rPr>
                      <w:rFonts w:ascii="Cambria Math" w:hAnsi="Cambria Math"/>
                    </w:rPr>
                    <m:t>5</m:t>
                  </m:r>
                  <m:ctrlPr>
                    <w:rPr>
                      <w:rFonts w:ascii="Cambria Math" w:hAnsi="Cambria Math"/>
                    </w:rPr>
                  </m:ctrlPr>
                </m:e>
              </m:rad>
              <m:ctrlPr>
                <w:rPr>
                  <w:rFonts w:ascii="Cambria Math" w:hAnsi="Cambria Math"/>
                </w:rPr>
              </m:ctrlPr>
            </m:num>
            <m:den>
              <m:r>
                <m:rPr>
                  <m:sty m:val="p"/>
                </m:rPr>
                <w:rPr>
                  <w:rFonts w:ascii="Cambria Math" w:hAnsi="Cambria Math"/>
                </w:rPr>
                <m:t>2</m:t>
              </m:r>
              <m:ctrlPr>
                <w:rPr>
                  <w:rFonts w:ascii="Cambria Math" w:hAnsi="Cambria Math"/>
                </w:rPr>
              </m:ctrlPr>
            </m:den>
          </m:f>
        </m:oMath>
      </m:oMathPara>
    </w:p>
    <w:p w14:paraId="227180AA">
      <w:pPr>
        <w:pStyle w:val="2"/>
      </w:pPr>
      <w:bookmarkStart w:id="173" w:name="_Toc115081101"/>
      <w:bookmarkStart w:id="174" w:name="_Toc66694176"/>
      <w:bookmarkStart w:id="175" w:name="_Toc106207099"/>
      <w:bookmarkStart w:id="176" w:name="_Toc76114826"/>
      <w:bookmarkStart w:id="177" w:name="_Toc58916125"/>
      <w:bookmarkStart w:id="178" w:name="_Toc122000052"/>
      <w:bookmarkStart w:id="179" w:name="_Toc53183413"/>
      <w:bookmarkStart w:id="180" w:name="_Toc89953127"/>
      <w:bookmarkStart w:id="181" w:name="_Toc176949633"/>
      <w:bookmarkStart w:id="182" w:name="_Toc156578319"/>
      <w:bookmarkStart w:id="183" w:name="_Toc36636332"/>
      <w:bookmarkStart w:id="184" w:name="_Toc45886368"/>
      <w:bookmarkStart w:id="185" w:name="_Toc99703307"/>
      <w:bookmarkStart w:id="186" w:name="_Toc74916201"/>
      <w:bookmarkStart w:id="187" w:name="_Toc137396876"/>
      <w:bookmarkStart w:id="188" w:name="_Toc58918306"/>
      <w:bookmarkStart w:id="189" w:name="_Toc21103122"/>
      <w:bookmarkStart w:id="190" w:name="_Toc124154951"/>
      <w:bookmarkStart w:id="191" w:name="_Toc82536834"/>
      <w:bookmarkStart w:id="192" w:name="_Toc37273278"/>
      <w:bookmarkStart w:id="193" w:name="_Toc76544712"/>
      <w:bookmarkStart w:id="194" w:name="_Toc187258440"/>
      <w:bookmarkStart w:id="195" w:name="_Toc98766944"/>
      <w:bookmarkStart w:id="196" w:name="_Toc29810971"/>
      <w:r>
        <w:t>I.5</w:t>
      </w:r>
      <w:r>
        <w:tab/>
      </w:r>
      <w:r>
        <w:t>Orthogonal cut grid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761AEA7">
      <w:pPr>
        <w:pStyle w:val="3"/>
      </w:pPr>
      <w:bookmarkStart w:id="197" w:name="_Toc53183414"/>
      <w:bookmarkStart w:id="198" w:name="_Toc29810972"/>
      <w:bookmarkStart w:id="199" w:name="_Toc89953128"/>
      <w:bookmarkStart w:id="200" w:name="_Toc58916126"/>
      <w:bookmarkStart w:id="201" w:name="_Toc37273279"/>
      <w:bookmarkStart w:id="202" w:name="_Toc137396877"/>
      <w:bookmarkStart w:id="203" w:name="_Toc76544713"/>
      <w:bookmarkStart w:id="204" w:name="_Toc115081102"/>
      <w:bookmarkStart w:id="205" w:name="_Toc21103123"/>
      <w:bookmarkStart w:id="206" w:name="_Toc74916202"/>
      <w:bookmarkStart w:id="207" w:name="_Toc76114827"/>
      <w:bookmarkStart w:id="208" w:name="_Toc45886369"/>
      <w:bookmarkStart w:id="209" w:name="_Toc124154952"/>
      <w:bookmarkStart w:id="210" w:name="_Toc99703308"/>
      <w:bookmarkStart w:id="211" w:name="_Toc187258441"/>
      <w:bookmarkStart w:id="212" w:name="_Toc156578320"/>
      <w:bookmarkStart w:id="213" w:name="_Toc66694177"/>
      <w:bookmarkStart w:id="214" w:name="_Toc36636333"/>
      <w:bookmarkStart w:id="215" w:name="_Toc98766945"/>
      <w:bookmarkStart w:id="216" w:name="_Toc82536835"/>
      <w:bookmarkStart w:id="217" w:name="_Toc176949634"/>
      <w:bookmarkStart w:id="218" w:name="_Toc106207100"/>
      <w:bookmarkStart w:id="219" w:name="_Toc122000053"/>
      <w:bookmarkStart w:id="220" w:name="_Toc58918307"/>
      <w:r>
        <w:t>I.5.1</w:t>
      </w:r>
      <w:r>
        <w:tab/>
      </w:r>
      <w:r>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9764602">
      <w:r>
        <w:t>Here, at least two cuts (default) shall be used, an optional third cut can be used. The alignment of the cuts must be along the symmetry planes of the antenna array. No alignment is required for spurious emissions.</w:t>
      </w:r>
    </w:p>
    <w:p w14:paraId="4968B8FB">
      <w:r>
        <w:t>When alignment is required:</w:t>
      </w:r>
    </w:p>
    <w:p w14:paraId="518D5192">
      <w:pPr>
        <w:pStyle w:val="54"/>
      </w:pPr>
      <w:r>
        <w:t>1)</w:t>
      </w:r>
      <w:r>
        <w:tab/>
      </w:r>
      <w:r>
        <w:t>The first mandatory cut is a horizontal cut passing through the peak direction of the main beam.</w:t>
      </w:r>
    </w:p>
    <w:p w14:paraId="357F2675">
      <w:pPr>
        <w:pStyle w:val="54"/>
      </w:pPr>
      <w:r>
        <w:t>2)</w:t>
      </w:r>
      <w:r>
        <w:tab/>
      </w:r>
      <w:r>
        <w:t>The second mandatory is a vertical cut passing through the peak direction of the main beam. Using the data from these two mandatory cuts, a conditional pattern multiplication can be used.</w:t>
      </w:r>
    </w:p>
    <w:p w14:paraId="69F316DD">
      <w:pPr>
        <w:pStyle w:val="54"/>
      </w:pPr>
      <w:r>
        <w:t>3)</w:t>
      </w:r>
      <w:r>
        <w:tab/>
      </w:r>
      <w:r>
        <w:t>The third optional cut is a vertical cut orthogonal to the first and the second cut.</w:t>
      </w:r>
    </w:p>
    <w:p w14:paraId="2DC11D9D">
      <w:r>
        <w:t>When alignment is not required, the cuts can be aligned arbitrarily.</w:t>
      </w:r>
    </w:p>
    <w:p w14:paraId="6499D724">
      <w:r>
        <w:t>Once the number and the orientation of the cuts are decided, the total EIRP is measured on the orthogonal cuts and the TRP is then calculated as follows: First the contributions from each cut is calculated as</w:t>
      </w:r>
    </w:p>
    <w:p w14:paraId="7CDF6860">
      <w:pPr>
        <w:pStyle w:val="47"/>
      </w:pPr>
      <w:r>
        <w:tab/>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P</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P</m:t>
            </m:r>
            <m:ctrlPr>
              <w:rPr>
                <w:rFonts w:ascii="Cambria Math" w:hAnsi="Cambria Math"/>
              </w:rPr>
            </m:ctrlPr>
          </m:sup>
          <m:e>
            <m:r>
              <m:rPr/>
              <w:rPr>
                <w:rFonts w:ascii="Cambria Math" w:hAnsi="Cambria Math"/>
              </w:rPr>
              <m:t>EIRP</m:t>
            </m:r>
            <m:r>
              <m:rPr>
                <m:sty m:val="p"/>
              </m:rPr>
              <w:rPr>
                <w:rFonts w:ascii="Cambria Math" w:hAnsi="Cambria Math"/>
              </w:rPr>
              <m:t>(</m:t>
            </m:r>
            <m:r>
              <m:rPr/>
              <w:rPr>
                <w:rFonts w:ascii="Cambria Math" w:hAnsi="Cambria Math"/>
              </w:rPr>
              <m:t>j</m:t>
            </m:r>
            <m:r>
              <m:rPr>
                <m:sty m:val="p"/>
              </m:rPr>
              <w:rPr>
                <w:rFonts w:ascii="Cambria Math" w:hAnsi="Cambria Math"/>
              </w:rPr>
              <m:t>)</m:t>
            </m:r>
            <m:ctrlPr>
              <w:rPr>
                <w:rFonts w:ascii="Cambria Math" w:hAnsi="Cambria Math"/>
              </w:rPr>
            </m:ctrlPr>
          </m:e>
        </m:nary>
      </m:oMath>
    </w:p>
    <w:p w14:paraId="611A7A12">
      <w:r>
        <w:t xml:space="preserve">where </w:t>
      </w:r>
      <w:r>
        <w:rPr>
          <w:i/>
          <w:iCs/>
        </w:rPr>
        <w:t>P</w:t>
      </w:r>
      <w:r>
        <w:t xml:space="preserve"> is the number of sampling points in the cut. The final contribution for all cuts is calculated as</w:t>
      </w:r>
    </w:p>
    <w:p w14:paraId="4FC9DC34">
      <w:pPr>
        <w:pStyle w:val="47"/>
      </w:pPr>
      <w:r>
        <w:tab/>
      </w: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w:rPr>
                <w:rFonts w:ascii="Cambria Math" w:hAnsi="Cambria Math"/>
              </w:rPr>
              <m:t>N</m:t>
            </m:r>
            <m:ctrlPr>
              <w:rPr>
                <w:rFonts w:ascii="Cambria Math" w:hAnsi="Cambria Math"/>
              </w:rPr>
            </m:ctrlPr>
          </m:den>
        </m:f>
        <m:nary>
          <m:naryPr>
            <m:chr m:val="∑"/>
            <m:limLoc m:val="subSup"/>
            <m:ctrlPr>
              <w:rPr>
                <w:rFonts w:ascii="Cambria Math" w:hAnsi="Cambria Math"/>
              </w:rPr>
            </m:ctrlPr>
          </m:naryPr>
          <m:sub>
            <m:r>
              <m:rPr/>
              <w:rPr>
                <w:rFonts w:ascii="Cambria Math" w:hAnsi="Cambria Math"/>
              </w:rPr>
              <m:t>n</m:t>
            </m:r>
            <m:r>
              <m:rPr>
                <m:sty m:val="p"/>
              </m:rPr>
              <w:rPr>
                <w:rFonts w:ascii="Cambria Math" w:hAnsi="Cambria Math"/>
              </w:rPr>
              <m:t>=1</m:t>
            </m:r>
            <m:ctrlPr>
              <w:rPr>
                <w:rFonts w:ascii="Cambria Math" w:hAnsi="Cambria Math"/>
              </w:rPr>
            </m:ctrlPr>
          </m:sub>
          <m:sup>
            <m:r>
              <m:rPr/>
              <w:rPr>
                <w:rFonts w:ascii="Cambria Math" w:hAnsi="Cambria Math"/>
              </w:rPr>
              <m:t>N</m:t>
            </m:r>
            <m:ctrlPr>
              <w:rPr>
                <w:rFonts w:ascii="Cambria Math" w:hAnsi="Cambria Math"/>
              </w:rPr>
            </m:ctrlPr>
          </m:sup>
          <m:e>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av</m:t>
                </m:r>
                <m:r>
                  <m:rPr>
                    <m:sty m:val="p"/>
                  </m:rPr>
                  <w:rPr>
                    <w:rFonts w:ascii="Cambria Math" w:hAnsi="Cambria Math"/>
                  </w:rPr>
                  <m:t>,</m:t>
                </m:r>
                <m:r>
                  <m:rPr/>
                  <w:rPr>
                    <w:rFonts w:ascii="Cambria Math" w:hAnsi="Cambria Math"/>
                  </w:rPr>
                  <m:t>cut</m:t>
                </m:r>
                <m:r>
                  <m:rPr>
                    <m:sty m:val="p"/>
                  </m:rPr>
                  <w:rPr>
                    <w:rFonts w:ascii="Cambria Math" w:hAnsi="Cambria Math"/>
                  </w:rPr>
                  <m:t>−</m:t>
                </m:r>
                <m:r>
                  <m:rPr/>
                  <w:rPr>
                    <w:rFonts w:ascii="Cambria Math" w:hAnsi="Cambria Math"/>
                  </w:rPr>
                  <m:t>n</m:t>
                </m:r>
                <m:ctrlPr>
                  <w:rPr>
                    <w:rFonts w:ascii="Cambria Math" w:hAnsi="Cambria Math"/>
                  </w:rPr>
                </m:ctrlPr>
              </m:sub>
            </m:sSub>
            <m:ctrlPr>
              <w:rPr>
                <w:rFonts w:ascii="Cambria Math" w:hAnsi="Cambria Math"/>
              </w:rPr>
            </m:ctrlPr>
          </m:e>
        </m:nary>
      </m:oMath>
    </w:p>
    <w:p w14:paraId="2C34D803">
      <w:r>
        <w:rPr>
          <w:bCs/>
        </w:rPr>
        <w:t xml:space="preserve">where </w:t>
      </w:r>
      <w:r>
        <w:rPr>
          <w:bCs/>
          <w:i/>
          <w:iCs/>
        </w:rPr>
        <w:t>N</w:t>
      </w:r>
      <w:r>
        <w:rPr>
          <w:bCs/>
        </w:rPr>
        <w:t xml:space="preserve"> is the number of cuts</w:t>
      </w:r>
      <w:r>
        <w:t>. Note that when orthogonal cuts are measured, the interclause points are measured multiple times and the repeated values can be removed from the samples before averaging.</w:t>
      </w:r>
    </w:p>
    <w:p w14:paraId="024FC42F">
      <w:r>
        <w:t>When two cuts measurements are used, a conditional pattern multiplication can be applied. The following are the conditions for applying pattern multiplication:</w:t>
      </w:r>
    </w:p>
    <w:p w14:paraId="4925F16D">
      <w:pPr>
        <w:pStyle w:val="54"/>
      </w:pPr>
      <w:r>
        <w:t>i.</w:t>
      </w:r>
      <w:r>
        <w:tab/>
      </w:r>
      <w:r>
        <w:t xml:space="preserve">The vertical cut (and the main beam) is in the </w:t>
      </w:r>
      <m:oMath>
        <m:r>
          <m:rPr/>
          <w:rPr>
            <w:rFonts w:ascii="Cambria Math" w:hAnsi="Cambria Math"/>
          </w:rPr>
          <m:t>xz</m:t>
        </m:r>
      </m:oMath>
      <w:r>
        <w:t xml:space="preserve"> -plane</w:t>
      </w:r>
    </w:p>
    <w:p w14:paraId="4FABBED6">
      <w:pPr>
        <w:pStyle w:val="54"/>
      </w:pPr>
      <w:r>
        <w:t>ii.</w:t>
      </w:r>
      <w:r>
        <w:tab/>
      </w:r>
      <w:r>
        <w:t>The frequency of the emission is within the downlink operating band.</w:t>
      </w:r>
    </w:p>
    <w:p w14:paraId="0AC4F93A">
      <w:pPr>
        <w:pStyle w:val="54"/>
      </w:pPr>
      <w:r>
        <w:t>iii.</w:t>
      </w:r>
      <w:r>
        <w:tab/>
      </w:r>
      <w:r>
        <w:t>The bandwidth of the emission is the same as the bandwidth of the in-band modulated signal</w:t>
      </w:r>
    </w:p>
    <w:p w14:paraId="4199E59C">
      <w:pPr>
        <w:pStyle w:val="54"/>
      </w:pPr>
      <w:r>
        <w:t>iv.</w:t>
      </w:r>
      <w:r>
        <w:tab/>
      </w:r>
      <w:r>
        <w:t>The emission appears/disappears when the Tx power is turned on/off.</w:t>
      </w:r>
    </w:p>
    <w:p w14:paraId="480A6CB6">
      <w:pPr>
        <w:pStyle w:val="54"/>
      </w:pPr>
      <w:r>
        <w:t>v.</w:t>
      </w:r>
      <w:r>
        <w:tab/>
      </w:r>
      <w:r>
        <w:t>The antenna arrays of the EUT</w:t>
      </w:r>
    </w:p>
    <w:p w14:paraId="52F95031">
      <w:pPr>
        <w:pStyle w:val="114"/>
      </w:pPr>
      <w:r>
        <w:t>1)</w:t>
      </w:r>
      <w:r>
        <w:tab/>
      </w:r>
      <w:r>
        <w:t>Have rectangular grids of antenna element positions</w:t>
      </w:r>
    </w:p>
    <w:p w14:paraId="41864BFB">
      <w:pPr>
        <w:pStyle w:val="114"/>
      </w:pPr>
      <w:r>
        <w:t>2)</w:t>
      </w:r>
      <w:r>
        <w:tab/>
      </w:r>
      <w:r>
        <w:t>Have symmetry planes that are vertical and horizontal.</w:t>
      </w:r>
    </w:p>
    <w:p w14:paraId="581DB067">
      <w:pPr>
        <w:pStyle w:val="114"/>
      </w:pPr>
      <w:r>
        <w:t>3)</w:t>
      </w:r>
      <w:r>
        <w:tab/>
      </w:r>
      <w:r>
        <w:t>Have parallel antenna planes</w:t>
      </w:r>
    </w:p>
    <w:p w14:paraId="06053F8E">
      <w:r>
        <w:t xml:space="preserve">The antenna array is here assumed to be placed in the </w:t>
      </w:r>
      <w:r>
        <w:rPr>
          <w:i/>
          <w:iCs/>
        </w:rPr>
        <w:t>yz</w:t>
      </w:r>
      <w:r>
        <w:t xml:space="preserve">-plane. The pattern multiplication is performed in </w:t>
      </w:r>
      <w:r>
        <w:rPr>
          <w:i/>
          <w:iCs/>
        </w:rPr>
        <w:t>uv</w:t>
      </w:r>
      <w:r>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ctrlPr>
              <w:rPr>
                <w:rFonts w:ascii="Cambria Math" w:hAnsi="Cambria Math"/>
                <w:sz w:val="22"/>
                <w:szCs w:val="22"/>
                <w:lang w:val="en-CA"/>
              </w:rPr>
            </m:ctrlPr>
          </m:e>
          <m:sub>
            <m:r>
              <m:rPr>
                <m:sty m:val="p"/>
              </m:rPr>
              <w:rPr>
                <w:rFonts w:ascii="Cambria Math" w:hAnsi="Cambria Math"/>
                <w:sz w:val="22"/>
                <w:szCs w:val="22"/>
                <w:lang w:val="en-CA"/>
              </w:rPr>
              <m:t>cut1</m:t>
            </m:r>
            <m:ctrlPr>
              <w:rPr>
                <w:rFonts w:ascii="Cambria Math" w:hAnsi="Cambria Math"/>
                <w:sz w:val="22"/>
                <w:szCs w:val="22"/>
                <w:lang w:val="en-CA"/>
              </w:rPr>
            </m:ctrlPr>
          </m:sub>
          <m:sup>
            <m:ctrlPr>
              <w:rPr>
                <w:rFonts w:ascii="Cambria Math" w:hAnsi="Cambria Math"/>
                <w:i/>
                <w:sz w:val="22"/>
                <w:szCs w:val="22"/>
                <w:lang w:val="en-CA"/>
              </w:rPr>
            </m:ctrlPr>
          </m:sup>
        </m:sSubSup>
        <m:d>
          <m:dPr>
            <m:ctrlPr>
              <w:rPr>
                <w:rFonts w:ascii="Cambria Math" w:hAnsi="Cambria Math"/>
                <w:sz w:val="22"/>
                <w:szCs w:val="22"/>
                <w:lang w:val="en-CA"/>
              </w:rPr>
            </m:ctrlPr>
          </m:dPr>
          <m:e>
            <m:r>
              <m:rPr/>
              <w:rPr>
                <w:rFonts w:ascii="Cambria Math" w:hAnsi="Cambria Math"/>
              </w:rPr>
              <m:t>ϕ</m:t>
            </m:r>
            <m:ctrlPr>
              <w:rPr>
                <w:rFonts w:ascii="Cambria Math" w:hAnsi="Cambria Math"/>
                <w:sz w:val="22"/>
                <w:szCs w:val="22"/>
                <w:lang w:val="en-CA"/>
              </w:rPr>
            </m:ctrlPr>
          </m:e>
        </m:d>
      </m:oMath>
      <w:r>
        <w:t xml:space="preserve"> at </w:t>
      </w:r>
      <m:oMath>
        <m:r>
          <m:rPr/>
          <w:rPr>
            <w:rFonts w:ascii="Cambria Math" w:hAnsi="Cambria Math"/>
          </w:rPr>
          <m:t>θ=</m:t>
        </m:r>
        <m:sSub>
          <m:sSubPr>
            <m:ctrlPr>
              <w:rPr>
                <w:rFonts w:ascii="Cambria Math" w:hAnsi="Cambria Math"/>
                <w:sz w:val="22"/>
                <w:szCs w:val="22"/>
                <w:lang w:val="en-CA"/>
              </w:rPr>
            </m:ctrlPr>
          </m:sSubPr>
          <m:e>
            <m:r>
              <m:rPr/>
              <w:rPr>
                <w:rFonts w:ascii="Cambria Math" w:hAnsi="Cambria Math"/>
              </w:rPr>
              <m:t>θ</m:t>
            </m:r>
            <m:ctrlPr>
              <w:rPr>
                <w:rFonts w:ascii="Cambria Math" w:hAnsi="Cambria Math"/>
                <w:sz w:val="22"/>
                <w:szCs w:val="22"/>
                <w:lang w:val="en-CA"/>
              </w:rPr>
            </m:ctrlPr>
          </m:e>
          <m:sub>
            <m:r>
              <m:rPr/>
              <w:rPr>
                <w:rFonts w:ascii="Cambria Math" w:hAnsi="Cambria Math"/>
              </w:rPr>
              <m:t>H</m:t>
            </m:r>
            <m:ctrlPr>
              <w:rPr>
                <w:rFonts w:ascii="Cambria Math" w:hAnsi="Cambria Math"/>
                <w:sz w:val="22"/>
                <w:szCs w:val="22"/>
                <w:lang w:val="en-CA"/>
              </w:rPr>
            </m:ctrlPr>
          </m:sub>
        </m:sSub>
        <m:r>
          <m:rPr>
            <m:sty m:val="p"/>
          </m:rPr>
          <w:rPr>
            <w:rFonts w:ascii="Cambria Math" w:hAnsi="Cambria Math"/>
            <w:lang w:val="en-CA"/>
          </w:rPr>
          <m:t xml:space="preserve"> </m:t>
        </m:r>
      </m:oMath>
      <w:r>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ctrlPr>
              <w:rPr>
                <w:rFonts w:ascii="Cambria Math" w:hAnsi="Cambria Math"/>
                <w:sz w:val="22"/>
                <w:szCs w:val="22"/>
                <w:lang w:val="en-CA"/>
              </w:rPr>
            </m:ctrlPr>
          </m:e>
          <m:sub>
            <m:r>
              <m:rPr>
                <m:sty m:val="p"/>
              </m:rPr>
              <w:rPr>
                <w:rFonts w:ascii="Cambria Math" w:hAnsi="Cambria Math"/>
                <w:sz w:val="22"/>
                <w:szCs w:val="22"/>
                <w:lang w:val="en-CA"/>
              </w:rPr>
              <m:t>cut2</m:t>
            </m:r>
            <m:ctrlPr>
              <w:rPr>
                <w:rFonts w:ascii="Cambria Math" w:hAnsi="Cambria Math"/>
                <w:sz w:val="22"/>
                <w:szCs w:val="22"/>
                <w:lang w:val="en-CA"/>
              </w:rPr>
            </m:ctrlPr>
          </m:sub>
          <m:sup>
            <m:ctrlPr>
              <w:rPr>
                <w:rFonts w:ascii="Cambria Math" w:hAnsi="Cambria Math"/>
                <w:sz w:val="22"/>
                <w:szCs w:val="22"/>
                <w:lang w:val="en-CA"/>
              </w:rPr>
            </m:ctrlPr>
          </m:sup>
        </m:sSubSup>
        <m:d>
          <m:dPr>
            <m:ctrlPr>
              <w:rPr>
                <w:rFonts w:ascii="Cambria Math" w:hAnsi="Cambria Math"/>
                <w:sz w:val="22"/>
                <w:szCs w:val="22"/>
                <w:lang w:val="en-CA"/>
              </w:rPr>
            </m:ctrlPr>
          </m:dPr>
          <m:e>
            <m:r>
              <m:rPr/>
              <w:rPr>
                <w:rFonts w:ascii="Cambria Math" w:hAnsi="Cambria Math"/>
              </w:rPr>
              <m:t>θ</m:t>
            </m:r>
            <m:ctrlPr>
              <w:rPr>
                <w:rFonts w:ascii="Cambria Math" w:hAnsi="Cambria Math"/>
                <w:sz w:val="22"/>
                <w:szCs w:val="22"/>
                <w:lang w:val="en-CA"/>
              </w:rPr>
            </m:ctrlPr>
          </m:e>
        </m:d>
      </m:oMath>
      <w:r>
        <w:t xml:space="preserve"> at </w:t>
      </w:r>
      <m:oMath>
        <m:r>
          <m:rPr/>
          <w:rPr>
            <w:rFonts w:ascii="Cambria Math" w:hAnsi="Cambria Math"/>
          </w:rPr>
          <m:t>ϕ=</m:t>
        </m:r>
        <m:r>
          <m:rPr>
            <m:sty m:val="p"/>
          </m:rPr>
          <w:rPr>
            <w:rFonts w:ascii="Cambria Math" w:hAnsi="Cambria Math"/>
            <w:sz w:val="22"/>
            <w:szCs w:val="22"/>
            <w:lang w:val="en-CA"/>
          </w:rPr>
          <m:t>0</m:t>
        </m:r>
      </m:oMath>
      <w:r>
        <w:t xml:space="preserve">. The data is split in two parts corresponding to the forward and backward hemispheres. The </w:t>
      </w:r>
      <w:r>
        <w:rPr>
          <w:i/>
          <w:iCs/>
        </w:rPr>
        <w:t>uv</w:t>
      </w:r>
      <w:r>
        <w:t xml:space="preserve">-coordinates are the projections of the angular directions onto the antenna plane, here the </w:t>
      </w:r>
      <w:r>
        <w:rPr>
          <w:i/>
          <w:iCs/>
        </w:rPr>
        <w:t>yz</w:t>
      </w:r>
      <w:r>
        <w:t xml:space="preserve">-plane. Using the spherical coordinates as depicted in figure I.2.2-1 the </w:t>
      </w:r>
      <w:r>
        <w:rPr>
          <w:i/>
          <w:iCs/>
        </w:rPr>
        <w:t>u</w:t>
      </w:r>
      <w:r>
        <w:t xml:space="preserve"> and </w:t>
      </w:r>
      <w:r>
        <w:rPr>
          <w:i/>
          <w:iCs/>
        </w:rPr>
        <w:t>v</w:t>
      </w:r>
      <w:r>
        <w:t xml:space="preserve"> coordinates are defined as:</w:t>
      </w:r>
    </w:p>
    <w:p w14:paraId="42A47F02">
      <w:pPr>
        <w:pStyle w:val="47"/>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m:rP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θ</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r>
                            <m:rPr/>
                            <w:rPr>
                              <w:rFonts w:ascii="Cambria Math" w:hAnsi="Cambria Math"/>
                            </w:rPr>
                            <m:t>ϕ</m:t>
                          </m:r>
                          <m:ctrlPr>
                            <w:rPr>
                              <w:rFonts w:ascii="Cambria Math" w:hAnsi="Cambria Math"/>
                            </w:rPr>
                          </m:ctrlPr>
                        </m:e>
                      </m:func>
                      <m:ctrlPr>
                        <w:rPr>
                          <w:rFonts w:ascii="Cambria Math" w:hAnsi="Cambria Math"/>
                        </w:rPr>
                      </m:ctrlPr>
                    </m:e>
                  </m:func>
                  <m:ctrlPr>
                    <w:rPr>
                      <w:rFonts w:ascii="Cambria Math" w:hAnsi="Cambria Math"/>
                    </w:rPr>
                  </m:ctrlPr>
                </m:e>
              </m:mr>
              <m:mr>
                <m:e>
                  <m:r>
                    <m:rP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r>
                        <m:rPr/>
                        <w:rPr>
                          <w:rFonts w:ascii="Cambria Math" w:hAnsi="Cambria Math"/>
                        </w:rPr>
                        <m:t>θ</m:t>
                      </m:r>
                      <m:ctrlPr>
                        <w:rPr>
                          <w:rFonts w:ascii="Cambria Math" w:hAnsi="Cambria Math"/>
                        </w:rPr>
                      </m:ctrlPr>
                    </m:e>
                  </m:func>
                  <m:ctrlPr>
                    <w:rPr>
                      <w:rFonts w:ascii="Cambria Math" w:hAnsi="Cambria Math"/>
                    </w:rPr>
                  </m:ctrlPr>
                </m:e>
              </m:mr>
            </m:m>
            <m:ctrlPr>
              <w:rPr>
                <w:rFonts w:ascii="Cambria Math" w:hAnsi="Cambria Math"/>
              </w:rPr>
            </m:ctrlPr>
          </m:e>
        </m:d>
      </m:oMath>
    </w:p>
    <w:p w14:paraId="311C9CBD">
      <w:r>
        <w:t>Note that only the data on the cuts are measured.</w:t>
      </w:r>
    </w:p>
    <w:p w14:paraId="31B5DA4C">
      <w:r>
        <w:t>Calculate power density/EIRP values outside the two cardinal cuts as</w:t>
      </w:r>
    </w:p>
    <w:p w14:paraId="28847512">
      <w:pPr>
        <w:pStyle w:val="47"/>
        <w:rPr>
          <w:rFonts w:ascii="Calibri" w:hAnsi="Calibri" w:eastAsia="MS Mincho"/>
          <w:lang w:val="en-US"/>
        </w:rPr>
      </w:pPr>
      <w:r>
        <w:rPr>
          <w:lang w:val="en-US"/>
        </w:rPr>
        <w:tab/>
      </w:r>
      <m:oMath>
        <m:r>
          <m:rPr>
            <m:sty m:val="p"/>
          </m:rPr>
          <w:rPr>
            <w:rFonts w:ascii="Cambria Math" w:hAnsi="Cambria Math"/>
            <w:lang w:val="en-US"/>
          </w:rPr>
          <m:t>EIRP</m:t>
        </m:r>
        <m:d>
          <m:dPr>
            <m:ctrlPr>
              <w:rPr>
                <w:rFonts w:ascii="Cambria Math" w:hAnsi="Cambria Math"/>
                <w:i/>
                <w:lang w:val="en-US"/>
              </w:rPr>
            </m:ctrlPr>
          </m:dPr>
          <m:e>
            <m:r>
              <m:rPr/>
              <w:rPr>
                <w:rFonts w:ascii="Cambria Math" w:hAnsi="Cambria Math"/>
                <w:lang w:val="en-US"/>
              </w:rPr>
              <m:t>u,v</m:t>
            </m:r>
            <m:ctrlPr>
              <w:rPr>
                <w:rFonts w:ascii="Cambria Math" w:hAnsi="Cambria Math"/>
                <w:i/>
                <w:lang w:val="en-US"/>
              </w:rPr>
            </m:ctrlPr>
          </m:e>
        </m:d>
        <m:r>
          <m:rPr/>
          <w:rPr>
            <w:rFonts w:ascii="Cambria Math" w:hAnsi="Cambria Math"/>
            <w:lang w:val="en-US"/>
          </w:rPr>
          <m:t>=</m:t>
        </m:r>
        <m:f>
          <m:fPr>
            <m:ctrlPr>
              <w:rPr>
                <w:rFonts w:ascii="Cambria Math" w:hAnsi="Cambria Math" w:eastAsia="Calibri"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ctrlPr>
                  <w:rPr>
                    <w:rFonts w:ascii="Cambria Math" w:hAnsi="Cambria Math"/>
                    <w:lang w:val="en-US"/>
                  </w:rPr>
                </m:ctrlPr>
              </m:e>
              <m:sub>
                <m:r>
                  <m:rPr>
                    <m:sty m:val="p"/>
                  </m:rPr>
                  <w:rPr>
                    <w:rFonts w:ascii="Cambria Math" w:hAnsi="Cambria Math"/>
                    <w:lang w:val="en-US"/>
                  </w:rPr>
                  <m:t>cut1</m:t>
                </m:r>
                <m:ctrlPr>
                  <w:rPr>
                    <w:rFonts w:ascii="Cambria Math" w:hAnsi="Cambria Math"/>
                    <w:lang w:val="en-US"/>
                  </w:rPr>
                </m:ctrlPr>
              </m:sub>
              <m:sup>
                <m:ctrlPr>
                  <w:rPr>
                    <w:rFonts w:ascii="Cambria Math" w:hAnsi="Cambria Math"/>
                    <w:lang w:val="en-US"/>
                  </w:rPr>
                </m:ctrlPr>
              </m:sup>
            </m:sSubSup>
            <m:d>
              <m:dPr>
                <m:ctrlPr>
                  <w:rPr>
                    <w:rFonts w:ascii="Cambria Math" w:hAnsi="Cambria Math"/>
                    <w:i/>
                    <w:lang w:val="en-US"/>
                  </w:rPr>
                </m:ctrlPr>
              </m:dPr>
              <m:e>
                <m:r>
                  <m:rPr/>
                  <w:rPr>
                    <w:rFonts w:ascii="Cambria Math" w:hAnsi="Cambria Math"/>
                    <w:lang w:val="en-US"/>
                  </w:rPr>
                  <m:t>u</m:t>
                </m:r>
                <m:ctrlPr>
                  <w:rPr>
                    <w:rFonts w:ascii="Cambria Math" w:hAnsi="Cambria Math"/>
                    <w:i/>
                    <w:lang w:val="en-US"/>
                  </w:rPr>
                </m:ctrlP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ctrlPr>
                  <w:rPr>
                    <w:rFonts w:ascii="Cambria Math" w:hAnsi="Cambria Math"/>
                    <w:lang w:val="en-US"/>
                  </w:rPr>
                </m:ctrlPr>
              </m:e>
              <m:sub>
                <m:r>
                  <m:rPr>
                    <m:sty m:val="p"/>
                  </m:rPr>
                  <w:rPr>
                    <w:rFonts w:ascii="Cambria Math" w:hAnsi="Cambria Math"/>
                    <w:lang w:val="en-US"/>
                  </w:rPr>
                  <m:t>cut2</m:t>
                </m:r>
                <m:ctrlPr>
                  <w:rPr>
                    <w:rFonts w:ascii="Cambria Math" w:hAnsi="Cambria Math"/>
                    <w:lang w:val="en-US"/>
                  </w:rPr>
                </m:ctrlPr>
              </m:sub>
              <m:sup>
                <m:ctrlPr>
                  <w:rPr>
                    <w:rFonts w:ascii="Cambria Math" w:hAnsi="Cambria Math"/>
                    <w:lang w:val="en-US"/>
                  </w:rPr>
                </m:ctrlPr>
              </m:sup>
            </m:sSubSup>
            <m:d>
              <m:dPr>
                <m:ctrlPr>
                  <w:rPr>
                    <w:rFonts w:ascii="Cambria Math" w:hAnsi="Cambria Math"/>
                    <w:i/>
                    <w:lang w:val="en-US"/>
                  </w:rPr>
                </m:ctrlPr>
              </m:dPr>
              <m:e>
                <m:r>
                  <m:rPr/>
                  <w:rPr>
                    <w:rFonts w:ascii="Cambria Math" w:hAnsi="Cambria Math"/>
                    <w:lang w:val="en-US"/>
                  </w:rPr>
                  <m:t>v</m:t>
                </m:r>
                <m:ctrlPr>
                  <w:rPr>
                    <w:rFonts w:ascii="Cambria Math" w:hAnsi="Cambria Math"/>
                    <w:i/>
                    <w:lang w:val="en-US"/>
                  </w:rPr>
                </m:ctrlPr>
              </m:e>
            </m:d>
            <m:ctrlPr>
              <w:rPr>
                <w:rFonts w:ascii="Cambria Math" w:hAnsi="Cambria Math" w:eastAsia="Calibri" w:cs="Arial"/>
                <w:i/>
                <w:lang w:val="en-US"/>
              </w:rPr>
            </m:ctrlPr>
          </m:num>
          <m:den>
            <m:r>
              <m:rPr>
                <m:sty m:val="p"/>
              </m:rPr>
              <w:rPr>
                <w:rFonts w:ascii="Cambria Math" w:hAnsi="Cambria Math"/>
                <w:lang w:val="en-US"/>
              </w:rPr>
              <m:t>EIRP</m:t>
            </m:r>
            <m:d>
              <m:dPr>
                <m:ctrlPr>
                  <w:rPr>
                    <w:rFonts w:ascii="Cambria Math" w:hAnsi="Cambria Math"/>
                    <w:i/>
                    <w:lang w:val="en-US"/>
                  </w:rPr>
                </m:ctrlPr>
              </m:dPr>
              <m:e>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H</m:t>
                    </m:r>
                    <m:ctrlPr>
                      <w:rPr>
                        <w:rFonts w:ascii="Cambria Math" w:hAnsi="Cambria Math"/>
                        <w:i/>
                        <w:lang w:val="en-US"/>
                      </w:rPr>
                    </m:ctrlPr>
                  </m:sub>
                </m:sSub>
                <m:ctrlPr>
                  <w:rPr>
                    <w:rFonts w:ascii="Cambria Math" w:hAnsi="Cambria Math"/>
                    <w:i/>
                    <w:lang w:val="en-US"/>
                  </w:rPr>
                </m:ctrlPr>
              </m:e>
            </m:d>
            <m:ctrlPr>
              <w:rPr>
                <w:rFonts w:ascii="Cambria Math" w:hAnsi="Cambria Math" w:eastAsia="Calibri" w:cs="Arial"/>
                <w:i/>
                <w:lang w:val="en-US"/>
              </w:rPr>
            </m:ctrlPr>
          </m:den>
        </m:f>
      </m:oMath>
    </w:p>
    <w:p w14:paraId="396B8B22">
      <w:r>
        <w:t>The pattern multiplication is applied separately for the forward (fwd) and backward (bwd) hemisphere. The TRP is then calculated as</w:t>
      </w:r>
    </w:p>
    <w:p w14:paraId="6DC5674C">
      <w:pPr>
        <w:pStyle w:val="47"/>
        <w:rPr>
          <w:lang w:val="en-US"/>
        </w:rPr>
      </w:pPr>
      <w:r>
        <w:rPr>
          <w:lang w:val="en-US"/>
        </w:rPr>
        <w:tab/>
      </w:r>
      <m:oMath>
        <m:r>
          <m:rPr>
            <m:sty m:val="p"/>
          </m:rPr>
          <w:rPr>
            <w:rFonts w:ascii="Cambria Math" w:hAnsi="Cambria Math"/>
            <w:lang w:val="en-US"/>
          </w:rPr>
          <m:t>TRP=</m:t>
        </m:r>
        <m:f>
          <m:fPr>
            <m:ctrlPr>
              <w:rPr>
                <w:rFonts w:ascii="Cambria Math" w:hAnsi="Cambria Math" w:eastAsia="Calibri" w:cs="Arial"/>
                <w:lang w:val="en-US"/>
              </w:rPr>
            </m:ctrlPr>
          </m:fPr>
          <m:num>
            <m:r>
              <m:rPr>
                <m:sty m:val="p"/>
              </m:rPr>
              <w:rPr>
                <w:rFonts w:ascii="Cambria Math" w:hAnsi="Cambria Math"/>
                <w:lang w:val="en-US"/>
              </w:rPr>
              <m:t>1</m:t>
            </m:r>
            <m:ctrlPr>
              <w:rPr>
                <w:rFonts w:ascii="Cambria Math" w:hAnsi="Cambria Math" w:eastAsia="Calibri" w:cs="Arial"/>
                <w:lang w:val="en-US"/>
              </w:rPr>
            </m:ctrlPr>
          </m:num>
          <m:den>
            <m:r>
              <m:rPr>
                <m:sty m:val="p"/>
              </m:rPr>
              <w:rPr>
                <w:rFonts w:ascii="Cambria Math" w:hAnsi="Cambria Math"/>
                <w:lang w:val="en-US"/>
              </w:rPr>
              <m:t>4</m:t>
            </m:r>
            <m:r>
              <m:rPr/>
              <w:rPr>
                <w:rFonts w:ascii="Cambria Math" w:hAnsi="Cambria Math"/>
                <w:lang w:val="en-US"/>
              </w:rPr>
              <m:t>π</m:t>
            </m:r>
            <m:ctrlPr>
              <w:rPr>
                <w:rFonts w:ascii="Cambria Math" w:hAnsi="Cambria Math" w:eastAsia="Calibri" w:cs="Arial"/>
                <w:lang w:val="en-US"/>
              </w:rPr>
            </m:ctrlPr>
          </m:den>
        </m:f>
        <m:d>
          <m:dPr>
            <m:begChr m:val="["/>
            <m:endChr m:val="]"/>
            <m:ctrlPr>
              <w:rPr>
                <w:rFonts w:ascii="Cambria Math" w:hAnsi="Cambria Math"/>
                <w:lang w:val="en-US"/>
              </w:rPr>
            </m:ctrlPr>
          </m:dPr>
          <m:e>
            <m:nary>
              <m:naryPr>
                <m:chr m:val="∬"/>
                <m:limLoc m:val="undOvr"/>
                <m:ctrlPr>
                  <w:rPr>
                    <w:rFonts w:ascii="Cambria Math" w:hAnsi="Cambria Math" w:eastAsia="Calibri" w:cs="Arial"/>
                    <w:lang w:val="en-US"/>
                  </w:rPr>
                </m:ctrlPr>
              </m:naryPr>
              <m:sub>
                <m:r>
                  <m:rPr>
                    <m:sty m:val="p"/>
                  </m:rPr>
                  <w:rPr>
                    <w:rFonts w:ascii="Cambria Math" w:hAnsi="Cambria Math"/>
                    <w:lang w:val="en-US"/>
                  </w:rPr>
                  <m:t>fwd</m:t>
                </m:r>
                <m:ctrlPr>
                  <w:rPr>
                    <w:rFonts w:ascii="Cambria Math" w:hAnsi="Cambria Math" w:eastAsia="Calibri" w:cs="Arial"/>
                    <w:lang w:val="en-US"/>
                  </w:rPr>
                </m:ctrlPr>
              </m:sub>
              <m:sup>
                <m:ctrlPr>
                  <w:rPr>
                    <w:rFonts w:ascii="Cambria Math" w:hAnsi="Cambria Math" w:eastAsia="Calibri" w:cs="Arial"/>
                    <w:lang w:val="en-US"/>
                  </w:rPr>
                </m:ctrlPr>
              </m:sup>
              <m:e>
                <m:sSubSup>
                  <m:sSubSupPr>
                    <m:ctrlPr>
                      <w:rPr>
                        <w:rFonts w:ascii="Cambria Math" w:hAnsi="Cambria Math"/>
                        <w:lang w:val="en-US"/>
                      </w:rPr>
                    </m:ctrlPr>
                  </m:sSubSupPr>
                  <m:e>
                    <m:r>
                      <m:rPr>
                        <m:sty m:val="p"/>
                      </m:rPr>
                      <w:rPr>
                        <w:rFonts w:ascii="Cambria Math" w:hAnsi="Cambria Math"/>
                        <w:lang w:val="en-US"/>
                      </w:rPr>
                      <m:t>EIRP</m:t>
                    </m:r>
                    <m:ctrlPr>
                      <w:rPr>
                        <w:rFonts w:ascii="Cambria Math" w:hAnsi="Cambria Math"/>
                        <w:lang w:val="en-US"/>
                      </w:rPr>
                    </m:ctrlPr>
                  </m:e>
                  <m:sub>
                    <m:r>
                      <m:rPr>
                        <m:sty m:val="p"/>
                      </m:rPr>
                      <w:rPr>
                        <w:rFonts w:ascii="Cambria Math" w:hAnsi="Cambria Math"/>
                        <w:lang w:val="en-US"/>
                      </w:rPr>
                      <m:t>fwd</m:t>
                    </m:r>
                    <m:ctrlPr>
                      <w:rPr>
                        <w:rFonts w:ascii="Cambria Math" w:hAnsi="Cambria Math"/>
                        <w:lang w:val="en-US"/>
                      </w:rPr>
                    </m:ctrlPr>
                  </m:sub>
                  <m:sup>
                    <m:ctrlPr>
                      <w:rPr>
                        <w:rFonts w:ascii="Cambria Math" w:hAnsi="Cambria Math"/>
                        <w:lang w:val="en-US"/>
                      </w:rPr>
                    </m:ctrlPr>
                  </m:sup>
                </m:sSubSup>
                <m:d>
                  <m:dPr>
                    <m:ctrlPr>
                      <w:rPr>
                        <w:rFonts w:ascii="Cambria Math" w:hAnsi="Cambria Math"/>
                        <w:lang w:val="en-US"/>
                      </w:rPr>
                    </m:ctrlPr>
                  </m:dPr>
                  <m:e>
                    <m:r>
                      <m:rPr/>
                      <w:rPr>
                        <w:rFonts w:ascii="Cambria Math" w:hAnsi="Cambria Math"/>
                        <w:lang w:val="en-US"/>
                      </w:rPr>
                      <m:t>u</m:t>
                    </m:r>
                    <m:r>
                      <m:rPr>
                        <m:sty m:val="p"/>
                      </m:rPr>
                      <w:rPr>
                        <w:rFonts w:ascii="Cambria Math" w:hAnsi="Cambria Math"/>
                        <w:lang w:val="en-US"/>
                      </w:rPr>
                      <m:t>,</m:t>
                    </m:r>
                    <m:r>
                      <m:rPr/>
                      <w:rPr>
                        <w:rFonts w:ascii="Cambria Math" w:hAnsi="Cambria Math"/>
                        <w:lang w:val="en-US"/>
                      </w:rPr>
                      <m:t>v</m:t>
                    </m:r>
                    <m:ctrlPr>
                      <w:rPr>
                        <w:rFonts w:ascii="Cambria Math" w:hAnsi="Cambria Math"/>
                        <w:lang w:val="en-US"/>
                      </w:rPr>
                    </m:ctrlPr>
                  </m:e>
                </m:d>
                <m:f>
                  <m:fPr>
                    <m:ctrlPr>
                      <w:rPr>
                        <w:rFonts w:ascii="Cambria Math" w:hAnsi="Cambria Math" w:eastAsia="Calibri" w:cs="Arial"/>
                        <w:lang w:val="en-US"/>
                      </w:rPr>
                    </m:ctrlPr>
                  </m:fPr>
                  <m:num>
                    <m:r>
                      <m:rPr>
                        <m:sty m:val="p"/>
                      </m:rPr>
                      <w:rPr>
                        <w:rFonts w:ascii="Cambria Math" w:hAnsi="Cambria Math"/>
                        <w:lang w:val="en-US"/>
                      </w:rPr>
                      <m:t>d</m:t>
                    </m:r>
                    <m:r>
                      <m:rPr/>
                      <w:rPr>
                        <w:rFonts w:ascii="Cambria Math" w:hAnsi="Cambria Math"/>
                        <w:lang w:val="en-US"/>
                      </w:rPr>
                      <m:t>u</m:t>
                    </m:r>
                    <m:r>
                      <m:rPr>
                        <m:sty m:val="p"/>
                      </m:rPr>
                      <w:rPr>
                        <w:rFonts w:ascii="Cambria Math" w:hAnsi="Cambria Math"/>
                        <w:lang w:val="en-US"/>
                      </w:rPr>
                      <m:t>d</m:t>
                    </m:r>
                    <m:r>
                      <m:rPr/>
                      <w:rPr>
                        <w:rFonts w:ascii="Cambria Math" w:hAnsi="Cambria Math"/>
                        <w:lang w:val="en-US"/>
                      </w:rPr>
                      <m:t>v</m:t>
                    </m:r>
                    <m:ctrlPr>
                      <w:rPr>
                        <w:rFonts w:ascii="Cambria Math" w:hAnsi="Cambria Math" w:eastAsia="Calibri" w:cs="Arial"/>
                        <w:lang w:val="en-US"/>
                      </w:rPr>
                    </m:ctrlPr>
                  </m:num>
                  <m:den>
                    <m:rad>
                      <m:radPr>
                        <m:degHide m:val="1"/>
                        <m:ctrlPr>
                          <w:rPr>
                            <w:rFonts w:ascii="Cambria Math" w:hAnsi="Cambria Math" w:eastAsia="Calibri" w:cs="Arial"/>
                            <w:lang w:val="en-US"/>
                          </w:rPr>
                        </m:ctrlPr>
                      </m:radPr>
                      <m:deg>
                        <m:ctrlPr>
                          <w:rPr>
                            <w:rFonts w:ascii="Cambria Math" w:hAnsi="Cambria Math" w:eastAsia="Calibri" w:cs="Arial"/>
                            <w:lang w:val="en-US"/>
                          </w:rPr>
                        </m:ctrlPr>
                      </m:deg>
                      <m:e>
                        <m:r>
                          <m:rPr>
                            <m:sty m:val="p"/>
                          </m:rPr>
                          <w:rPr>
                            <w:rFonts w:ascii="Cambria Math" w:hAnsi="Cambria Math"/>
                            <w:lang w:val="en-US"/>
                          </w:rPr>
                          <m:t>1−</m:t>
                        </m:r>
                        <m:sSup>
                          <m:sSupPr>
                            <m:ctrlPr>
                              <w:rPr>
                                <w:rFonts w:ascii="Cambria Math" w:hAnsi="Cambria Math"/>
                                <w:lang w:val="en-US"/>
                              </w:rPr>
                            </m:ctrlPr>
                          </m:sSupPr>
                          <m:e>
                            <m:r>
                              <m:rPr/>
                              <w:rPr>
                                <w:rFonts w:ascii="Cambria Math" w:hAnsi="Cambria Math"/>
                                <w:lang w:val="en-US"/>
                              </w:rPr>
                              <m:t>u</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r>
                          <m:rPr>
                            <m:sty m:val="p"/>
                          </m:rPr>
                          <w:rPr>
                            <w:rFonts w:ascii="Cambria Math" w:hAnsi="Cambria Math"/>
                            <w:lang w:val="en-US"/>
                          </w:rPr>
                          <m:t>−</m:t>
                        </m:r>
                        <m:sSup>
                          <m:sSupPr>
                            <m:ctrlPr>
                              <w:rPr>
                                <w:rFonts w:ascii="Cambria Math" w:hAnsi="Cambria Math"/>
                                <w:lang w:val="en-US"/>
                              </w:rPr>
                            </m:ctrlPr>
                          </m:sSupPr>
                          <m:e>
                            <m:r>
                              <m:rPr/>
                              <w:rPr>
                                <w:rFonts w:ascii="Cambria Math" w:hAnsi="Cambria Math"/>
                                <w:lang w:val="en-US"/>
                              </w:rPr>
                              <m:t>v</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ctrlPr>
                          <w:rPr>
                            <w:rFonts w:ascii="Cambria Math" w:hAnsi="Cambria Math" w:eastAsia="Calibri" w:cs="Arial"/>
                            <w:lang w:val="en-US"/>
                          </w:rPr>
                        </m:ctrlPr>
                      </m:e>
                    </m:rad>
                    <m:ctrlPr>
                      <w:rPr>
                        <w:rFonts w:ascii="Cambria Math" w:hAnsi="Cambria Math" w:eastAsia="Calibri" w:cs="Arial"/>
                        <w:lang w:val="en-US"/>
                      </w:rPr>
                    </m:ctrlPr>
                  </m:den>
                </m:f>
                <m:r>
                  <m:rPr>
                    <m:sty m:val="p"/>
                  </m:rPr>
                  <w:rPr>
                    <w:rFonts w:ascii="Cambria Math" w:hAnsi="Cambria Math"/>
                    <w:lang w:val="en-US"/>
                  </w:rPr>
                  <m:t>+</m:t>
                </m:r>
                <m:ctrlPr>
                  <w:rPr>
                    <w:rFonts w:ascii="Cambria Math" w:hAnsi="Cambria Math" w:eastAsia="Calibri" w:cs="Arial"/>
                    <w:lang w:val="en-US"/>
                  </w:rPr>
                </m:ctrlPr>
              </m:e>
            </m:nary>
            <m:nary>
              <m:naryPr>
                <m:chr m:val="∬"/>
                <m:limLoc m:val="undOvr"/>
                <m:ctrlPr>
                  <w:rPr>
                    <w:rFonts w:ascii="Cambria Math" w:hAnsi="Cambria Math" w:eastAsia="Calibri" w:cs="Arial"/>
                    <w:lang w:val="en-US"/>
                  </w:rPr>
                </m:ctrlPr>
              </m:naryPr>
              <m:sub>
                <m:r>
                  <m:rPr>
                    <m:sty m:val="p"/>
                  </m:rPr>
                  <w:rPr>
                    <w:rFonts w:ascii="Cambria Math" w:hAnsi="Cambria Math"/>
                    <w:lang w:val="en-US"/>
                  </w:rPr>
                  <m:t>bwd</m:t>
                </m:r>
                <m:ctrlPr>
                  <w:rPr>
                    <w:rFonts w:ascii="Cambria Math" w:hAnsi="Cambria Math" w:eastAsia="Calibri" w:cs="Arial"/>
                    <w:lang w:val="en-US"/>
                  </w:rPr>
                </m:ctrlPr>
              </m:sub>
              <m:sup>
                <m:ctrlPr>
                  <w:rPr>
                    <w:rFonts w:ascii="Cambria Math" w:hAnsi="Cambria Math" w:eastAsia="Calibri" w:cs="Arial"/>
                    <w:lang w:val="en-US"/>
                  </w:rPr>
                </m:ctrlPr>
              </m:sup>
              <m:e>
                <m:sSubSup>
                  <m:sSubSupPr>
                    <m:ctrlPr>
                      <w:rPr>
                        <w:rFonts w:ascii="Cambria Math" w:hAnsi="Cambria Math"/>
                        <w:lang w:val="en-US"/>
                      </w:rPr>
                    </m:ctrlPr>
                  </m:sSubSupPr>
                  <m:e>
                    <m:r>
                      <m:rPr>
                        <m:sty m:val="p"/>
                      </m:rPr>
                      <w:rPr>
                        <w:rFonts w:ascii="Cambria Math" w:hAnsi="Cambria Math"/>
                        <w:lang w:val="en-US"/>
                      </w:rPr>
                      <m:t>EIRP</m:t>
                    </m:r>
                    <m:ctrlPr>
                      <w:rPr>
                        <w:rFonts w:ascii="Cambria Math" w:hAnsi="Cambria Math"/>
                        <w:lang w:val="en-US"/>
                      </w:rPr>
                    </m:ctrlPr>
                  </m:e>
                  <m:sub>
                    <m:r>
                      <m:rPr>
                        <m:sty m:val="p"/>
                      </m:rPr>
                      <w:rPr>
                        <w:rFonts w:ascii="Cambria Math" w:hAnsi="Cambria Math"/>
                        <w:lang w:val="en-US"/>
                      </w:rPr>
                      <m:t>bwd</m:t>
                    </m:r>
                    <m:ctrlPr>
                      <w:rPr>
                        <w:rFonts w:ascii="Cambria Math" w:hAnsi="Cambria Math"/>
                        <w:lang w:val="en-US"/>
                      </w:rPr>
                    </m:ctrlPr>
                  </m:sub>
                  <m:sup>
                    <m:ctrlPr>
                      <w:rPr>
                        <w:rFonts w:ascii="Cambria Math" w:hAnsi="Cambria Math"/>
                        <w:lang w:val="en-US"/>
                      </w:rPr>
                    </m:ctrlPr>
                  </m:sup>
                </m:sSubSup>
                <m:d>
                  <m:dPr>
                    <m:ctrlPr>
                      <w:rPr>
                        <w:rFonts w:ascii="Cambria Math" w:hAnsi="Cambria Math"/>
                        <w:lang w:val="en-US"/>
                      </w:rPr>
                    </m:ctrlPr>
                  </m:dPr>
                  <m:e>
                    <m:r>
                      <m:rPr/>
                      <w:rPr>
                        <w:rFonts w:ascii="Cambria Math" w:hAnsi="Cambria Math"/>
                        <w:lang w:val="en-US"/>
                      </w:rPr>
                      <m:t>u</m:t>
                    </m:r>
                    <m:r>
                      <m:rPr>
                        <m:sty m:val="p"/>
                      </m:rPr>
                      <w:rPr>
                        <w:rFonts w:ascii="Cambria Math" w:hAnsi="Cambria Math"/>
                        <w:lang w:val="en-US"/>
                      </w:rPr>
                      <m:t>,</m:t>
                    </m:r>
                    <m:r>
                      <m:rPr/>
                      <w:rPr>
                        <w:rFonts w:ascii="Cambria Math" w:hAnsi="Cambria Math"/>
                        <w:lang w:val="en-US"/>
                      </w:rPr>
                      <m:t>v</m:t>
                    </m:r>
                    <m:ctrlPr>
                      <w:rPr>
                        <w:rFonts w:ascii="Cambria Math" w:hAnsi="Cambria Math"/>
                        <w:lang w:val="en-US"/>
                      </w:rPr>
                    </m:ctrlPr>
                  </m:e>
                </m:d>
                <m:f>
                  <m:fPr>
                    <m:ctrlPr>
                      <w:rPr>
                        <w:rFonts w:ascii="Cambria Math" w:hAnsi="Cambria Math" w:eastAsia="Calibri" w:cs="Arial"/>
                        <w:lang w:val="en-US"/>
                      </w:rPr>
                    </m:ctrlPr>
                  </m:fPr>
                  <m:num>
                    <m:r>
                      <m:rPr>
                        <m:sty m:val="p"/>
                      </m:rPr>
                      <w:rPr>
                        <w:rFonts w:ascii="Cambria Math" w:hAnsi="Cambria Math"/>
                        <w:lang w:val="en-US"/>
                      </w:rPr>
                      <m:t>d</m:t>
                    </m:r>
                    <m:r>
                      <m:rPr/>
                      <w:rPr>
                        <w:rFonts w:ascii="Cambria Math" w:hAnsi="Cambria Math"/>
                        <w:lang w:val="en-US"/>
                      </w:rPr>
                      <m:t>u</m:t>
                    </m:r>
                    <m:r>
                      <m:rPr>
                        <m:sty m:val="p"/>
                      </m:rPr>
                      <w:rPr>
                        <w:rFonts w:ascii="Cambria Math" w:hAnsi="Cambria Math"/>
                        <w:lang w:val="en-US"/>
                      </w:rPr>
                      <m:t>d</m:t>
                    </m:r>
                    <m:r>
                      <m:rPr/>
                      <w:rPr>
                        <w:rFonts w:ascii="Cambria Math" w:hAnsi="Cambria Math"/>
                        <w:lang w:val="en-US"/>
                      </w:rPr>
                      <m:t>v</m:t>
                    </m:r>
                    <m:ctrlPr>
                      <w:rPr>
                        <w:rFonts w:ascii="Cambria Math" w:hAnsi="Cambria Math" w:eastAsia="Calibri" w:cs="Arial"/>
                        <w:lang w:val="en-US"/>
                      </w:rPr>
                    </m:ctrlPr>
                  </m:num>
                  <m:den>
                    <m:rad>
                      <m:radPr>
                        <m:degHide m:val="1"/>
                        <m:ctrlPr>
                          <w:rPr>
                            <w:rFonts w:ascii="Cambria Math" w:hAnsi="Cambria Math" w:eastAsia="Calibri" w:cs="Arial"/>
                            <w:lang w:val="en-US"/>
                          </w:rPr>
                        </m:ctrlPr>
                      </m:radPr>
                      <m:deg>
                        <m:ctrlPr>
                          <w:rPr>
                            <w:rFonts w:ascii="Cambria Math" w:hAnsi="Cambria Math" w:eastAsia="Calibri" w:cs="Arial"/>
                            <w:lang w:val="en-US"/>
                          </w:rPr>
                        </m:ctrlPr>
                      </m:deg>
                      <m:e>
                        <m:r>
                          <m:rPr>
                            <m:sty m:val="p"/>
                          </m:rPr>
                          <w:rPr>
                            <w:rFonts w:ascii="Cambria Math" w:hAnsi="Cambria Math"/>
                            <w:lang w:val="en-US"/>
                          </w:rPr>
                          <m:t>1−</m:t>
                        </m:r>
                        <m:sSup>
                          <m:sSupPr>
                            <m:ctrlPr>
                              <w:rPr>
                                <w:rFonts w:ascii="Cambria Math" w:hAnsi="Cambria Math"/>
                                <w:lang w:val="en-US"/>
                              </w:rPr>
                            </m:ctrlPr>
                          </m:sSupPr>
                          <m:e>
                            <m:r>
                              <m:rPr/>
                              <w:rPr>
                                <w:rFonts w:ascii="Cambria Math" w:hAnsi="Cambria Math"/>
                                <w:lang w:val="en-US"/>
                              </w:rPr>
                              <m:t>u</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r>
                          <m:rPr>
                            <m:sty m:val="p"/>
                          </m:rPr>
                          <w:rPr>
                            <w:rFonts w:ascii="Cambria Math" w:hAnsi="Cambria Math"/>
                            <w:lang w:val="en-US"/>
                          </w:rPr>
                          <m:t>−</m:t>
                        </m:r>
                        <m:sSup>
                          <m:sSupPr>
                            <m:ctrlPr>
                              <w:rPr>
                                <w:rFonts w:ascii="Cambria Math" w:hAnsi="Cambria Math"/>
                                <w:lang w:val="en-US"/>
                              </w:rPr>
                            </m:ctrlPr>
                          </m:sSupPr>
                          <m:e>
                            <m:r>
                              <m:rPr/>
                              <w:rPr>
                                <w:rFonts w:ascii="Cambria Math" w:hAnsi="Cambria Math"/>
                                <w:lang w:val="en-US"/>
                              </w:rPr>
                              <m:t>v</m:t>
                            </m:r>
                            <m:ctrlPr>
                              <w:rPr>
                                <w:rFonts w:ascii="Cambria Math" w:hAnsi="Cambria Math"/>
                                <w:lang w:val="en-US"/>
                              </w:rPr>
                            </m:ctrlPr>
                          </m:e>
                          <m:sup>
                            <m:r>
                              <m:rPr>
                                <m:sty m:val="p"/>
                              </m:rPr>
                              <w:rPr>
                                <w:rFonts w:ascii="Cambria Math" w:hAnsi="Cambria Math"/>
                                <w:lang w:val="en-US"/>
                              </w:rPr>
                              <m:t>2</m:t>
                            </m:r>
                            <m:ctrlPr>
                              <w:rPr>
                                <w:rFonts w:ascii="Cambria Math" w:hAnsi="Cambria Math"/>
                                <w:lang w:val="en-US"/>
                              </w:rPr>
                            </m:ctrlPr>
                          </m:sup>
                        </m:sSup>
                        <m:ctrlPr>
                          <w:rPr>
                            <w:rFonts w:ascii="Cambria Math" w:hAnsi="Cambria Math" w:eastAsia="Calibri" w:cs="Arial"/>
                            <w:lang w:val="en-US"/>
                          </w:rPr>
                        </m:ctrlPr>
                      </m:e>
                    </m:rad>
                    <m:ctrlPr>
                      <w:rPr>
                        <w:rFonts w:ascii="Cambria Math" w:hAnsi="Cambria Math" w:eastAsia="Calibri" w:cs="Arial"/>
                        <w:lang w:val="en-US"/>
                      </w:rPr>
                    </m:ctrlPr>
                  </m:den>
                </m:f>
                <m:ctrlPr>
                  <w:rPr>
                    <w:rFonts w:ascii="Cambria Math" w:hAnsi="Cambria Math" w:eastAsia="Calibri" w:cs="Arial"/>
                    <w:lang w:val="en-US"/>
                  </w:rPr>
                </m:ctrlPr>
              </m:e>
            </m:nary>
            <m:ctrlPr>
              <w:rPr>
                <w:rFonts w:ascii="Cambria Math" w:hAnsi="Cambria Math"/>
                <w:lang w:val="en-US"/>
              </w:rPr>
            </m:ctrlPr>
          </m:e>
        </m:d>
      </m:oMath>
    </w:p>
    <w:p w14:paraId="29F25FB4">
      <w:pPr>
        <w:pStyle w:val="45"/>
      </w:pPr>
      <w:r>
        <w:t>NOTE:</w:t>
      </w:r>
      <w:r>
        <w:tab/>
      </w:r>
      <w:r>
        <w:t xml:space="preserve">The numerical singularity at </w:t>
      </w:r>
      <m:oMath>
        <m:sSup>
          <m:sSupPr>
            <m:ctrlPr>
              <w:rPr>
                <w:rFonts w:ascii="Cambria Math" w:hAnsi="Cambria Math"/>
                <w:i/>
              </w:rPr>
            </m:ctrlPr>
          </m:sSupPr>
          <m:e>
            <m:r>
              <m:rPr/>
              <w:rPr>
                <w:rFonts w:ascii="Cambria Math" w:hAnsi="Cambria Math"/>
              </w:rPr>
              <m:t>u</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m:t>
        </m:r>
        <m:sSup>
          <m:sSupPr>
            <m:ctrlPr>
              <w:rPr>
                <w:rFonts w:ascii="Cambria Math" w:hAnsi="Cambria Math"/>
                <w:i/>
              </w:rPr>
            </m:ctrlPr>
          </m:sSupPr>
          <m:e>
            <m:r>
              <m:rPr/>
              <w:rPr>
                <w:rFonts w:ascii="Cambria Math" w:hAnsi="Cambria Math"/>
              </w:rPr>
              <m:t>v</m:t>
            </m:r>
            <m:ctrlPr>
              <w:rPr>
                <w:rFonts w:ascii="Cambria Math" w:hAnsi="Cambria Math"/>
                <w:i/>
              </w:rPr>
            </m:ctrlPr>
          </m:e>
          <m:sup>
            <m:r>
              <m:rPr/>
              <w:rPr>
                <w:rFonts w:ascii="Cambria Math" w:hAnsi="Cambria Math"/>
              </w:rPr>
              <m:t>2</m:t>
            </m:r>
            <m:ctrlPr>
              <w:rPr>
                <w:rFonts w:ascii="Cambria Math" w:hAnsi="Cambria Math"/>
                <w:i/>
              </w:rPr>
            </m:ctrlPr>
          </m:sup>
        </m:sSup>
        <m:r>
          <m:rPr/>
          <w:rPr>
            <w:rFonts w:ascii="Cambria Math" w:hAnsi="Cambria Math"/>
          </w:rPr>
          <m:t>=1</m:t>
        </m:r>
      </m:oMath>
      <w:r>
        <w:t xml:space="preserve"> must be treated with care, e.g. by change of variables. </w:t>
      </w:r>
    </w:p>
    <w:p w14:paraId="56E81F6A">
      <w:pPr>
        <w:pStyle w:val="3"/>
        <w:rPr>
          <w:lang w:val="en-US"/>
        </w:rPr>
      </w:pPr>
      <w:bookmarkStart w:id="221" w:name="_Toc176949635"/>
      <w:bookmarkStart w:id="222" w:name="_Toc137396878"/>
      <w:bookmarkStart w:id="223" w:name="_Toc156578321"/>
      <w:bookmarkStart w:id="224" w:name="_Toc37273280"/>
      <w:bookmarkStart w:id="225" w:name="_Toc82536836"/>
      <w:bookmarkStart w:id="226" w:name="_Toc89953129"/>
      <w:bookmarkStart w:id="227" w:name="_Toc122000054"/>
      <w:bookmarkStart w:id="228" w:name="_Toc53183415"/>
      <w:bookmarkStart w:id="229" w:name="_Toc58918308"/>
      <w:bookmarkStart w:id="230" w:name="_Toc106207101"/>
      <w:bookmarkStart w:id="231" w:name="_Toc98766946"/>
      <w:bookmarkStart w:id="232" w:name="_Toc76114828"/>
      <w:bookmarkStart w:id="233" w:name="_Toc74916203"/>
      <w:bookmarkStart w:id="234" w:name="_Toc58916127"/>
      <w:bookmarkStart w:id="235" w:name="_Toc124154953"/>
      <w:bookmarkStart w:id="236" w:name="_Toc66694178"/>
      <w:bookmarkStart w:id="237" w:name="_Toc76544714"/>
      <w:bookmarkStart w:id="238" w:name="_Toc99703309"/>
      <w:bookmarkStart w:id="239" w:name="_Toc29810973"/>
      <w:bookmarkStart w:id="240" w:name="_Toc115081103"/>
      <w:bookmarkStart w:id="241" w:name="_Toc187258442"/>
      <w:bookmarkStart w:id="242" w:name="_Toc45886370"/>
      <w:bookmarkStart w:id="243" w:name="_Toc36636334"/>
      <w:bookmarkStart w:id="244" w:name="_Toc21103124"/>
      <w:r>
        <w:rPr>
          <w:lang w:val="en-US"/>
        </w:rPr>
        <w:t>I.5</w:t>
      </w:r>
      <w:r>
        <w:t>.2</w:t>
      </w:r>
      <w:r>
        <w:tab/>
      </w:r>
      <w:r>
        <w:rPr>
          <w:lang w:val="en-US"/>
        </w:rPr>
        <w:t>Operating band unwanted emissions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20A1142">
      <w:r>
        <w:t>The procedure is as follows:</w:t>
      </w:r>
    </w:p>
    <w:p w14:paraId="7744CC18">
      <w:pPr>
        <w:pStyle w:val="54"/>
      </w:pPr>
      <w:r>
        <w:t>1)</w:t>
      </w:r>
      <w:r>
        <w:tab/>
      </w:r>
      <w:r>
        <w:t>Follow steps described in annex I.5.1 for the first two mandatory cuts and calculate the TRP</w:t>
      </w:r>
      <w:r>
        <w:rPr>
          <w:vertAlign w:val="subscript"/>
        </w:rPr>
        <w:t>Estimate</w:t>
      </w:r>
      <w:r>
        <w:t>.</w:t>
      </w:r>
    </w:p>
    <w:p w14:paraId="25569AA0">
      <w:pPr>
        <w:pStyle w:val="54"/>
      </w:pPr>
      <w:r>
        <w:t>2)</w:t>
      </w:r>
      <w:r>
        <w:tab/>
      </w:r>
      <w:r>
        <w:t>Compare the TRP</w:t>
      </w:r>
      <w:r>
        <w:rPr>
          <w:vertAlign w:val="subscript"/>
        </w:rPr>
        <w:t>Estimate</w:t>
      </w:r>
      <w:r>
        <w:t xml:space="preserve"> to the limit.</w:t>
      </w:r>
    </w:p>
    <w:p w14:paraId="0676A0CE">
      <w:pPr>
        <w:pStyle w:val="54"/>
      </w:pPr>
      <w:r>
        <w:t>3)</w:t>
      </w:r>
      <w:r>
        <w:tab/>
      </w:r>
      <w:r>
        <w:t>If the TRP</w:t>
      </w:r>
      <w:r>
        <w:rPr>
          <w:vertAlign w:val="subscript"/>
        </w:rPr>
        <w:t>Estimate</w:t>
      </w:r>
      <w:r>
        <w:t xml:space="preserve"> is above the limit, perform the measurement on an additional third cut and repeat steps 1 to 2.</w:t>
      </w:r>
    </w:p>
    <w:p w14:paraId="1003A68D">
      <w:pPr>
        <w:pStyle w:val="3"/>
        <w:rPr>
          <w:lang w:val="en-US"/>
        </w:rPr>
      </w:pPr>
      <w:bookmarkStart w:id="245" w:name="_Toc98766947"/>
      <w:bookmarkStart w:id="246" w:name="_Toc122000055"/>
      <w:bookmarkStart w:id="247" w:name="_Toc37273281"/>
      <w:bookmarkStart w:id="248" w:name="_Toc58918309"/>
      <w:bookmarkStart w:id="249" w:name="_Toc82536837"/>
      <w:bookmarkStart w:id="250" w:name="_Toc176949636"/>
      <w:bookmarkStart w:id="251" w:name="_Toc89953130"/>
      <w:bookmarkStart w:id="252" w:name="_Toc187258443"/>
      <w:bookmarkStart w:id="253" w:name="_Toc58916128"/>
      <w:bookmarkStart w:id="254" w:name="_Toc76544715"/>
      <w:bookmarkStart w:id="255" w:name="_Toc36636335"/>
      <w:bookmarkStart w:id="256" w:name="_Toc66694179"/>
      <w:bookmarkStart w:id="257" w:name="_Toc53183416"/>
      <w:bookmarkStart w:id="258" w:name="_Toc45886371"/>
      <w:bookmarkStart w:id="259" w:name="_Toc124154954"/>
      <w:bookmarkStart w:id="260" w:name="_Toc137396879"/>
      <w:bookmarkStart w:id="261" w:name="_Toc21103125"/>
      <w:bookmarkStart w:id="262" w:name="_Toc29810974"/>
      <w:bookmarkStart w:id="263" w:name="_Toc76114829"/>
      <w:bookmarkStart w:id="264" w:name="_Toc156578322"/>
      <w:bookmarkStart w:id="265" w:name="_Toc106207102"/>
      <w:bookmarkStart w:id="266" w:name="_Toc74916204"/>
      <w:bookmarkStart w:id="267" w:name="_Toc115081104"/>
      <w:bookmarkStart w:id="268" w:name="_Toc99703310"/>
      <w:r>
        <w:rPr>
          <w:lang w:val="en-US"/>
        </w:rPr>
        <w:t>I.5.3</w:t>
      </w:r>
      <w:r>
        <w:tab/>
      </w:r>
      <w:r>
        <w:rPr>
          <w:lang w:val="en-US"/>
        </w:rPr>
        <w:t>Spurious unwanted emissions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7192D09">
      <w:r>
        <w:t>The procedure is as follows:</w:t>
      </w:r>
    </w:p>
    <w:p w14:paraId="1BE1ACDB">
      <w:pPr>
        <w:pStyle w:val="54"/>
      </w:pPr>
      <w:r>
        <w:t>1)</w:t>
      </w:r>
      <w:r>
        <w:tab/>
      </w:r>
      <w:r>
        <w:t>Follow steps described in annex I.5.1 for two cuts and calculate the preliminary TRP</w:t>
      </w:r>
      <w:r>
        <w:rPr>
          <w:vertAlign w:val="subscript"/>
        </w:rPr>
        <w:t>Estimate</w:t>
      </w:r>
      <w:r>
        <w:t>.</w:t>
      </w:r>
    </w:p>
    <w:p w14:paraId="3BB10754">
      <w:pPr>
        <w:pStyle w:val="54"/>
      </w:pPr>
      <w:r>
        <w:t>2)</w:t>
      </w:r>
      <w:r>
        <w:tab/>
      </w:r>
      <w:r>
        <w:t>Add the appropriate correction factor ΔTRP according to table I.5.3-1 to ensure overestimation with 95% confidence.</w:t>
      </w:r>
    </w:p>
    <w:p w14:paraId="1172FD15">
      <w:pPr>
        <w:pStyle w:val="54"/>
        <w:rPr>
          <w:lang w:val="en-US"/>
        </w:rPr>
      </w:pPr>
      <w:r>
        <w:t>3)</w:t>
      </w:r>
      <w:r>
        <w:tab/>
      </w:r>
      <w:r>
        <w:t>Compare the corrected TRP</w:t>
      </w:r>
      <w:r>
        <w:rPr>
          <w:vertAlign w:val="subscript"/>
        </w:rPr>
        <w:t>Estimate</w:t>
      </w:r>
      <w:r>
        <w:t xml:space="preserve"> (including ΔTRP) to the limit.</w:t>
      </w:r>
    </w:p>
    <w:p w14:paraId="0363C0C3">
      <w:pPr>
        <w:pStyle w:val="54"/>
        <w:rPr>
          <w:lang w:val="en-US"/>
        </w:rPr>
      </w:pPr>
      <w:r>
        <w:t>4)</w:t>
      </w:r>
      <w:r>
        <w:tab/>
      </w:r>
      <w:r>
        <w:t>If the corrected TRP</w:t>
      </w:r>
      <w:r>
        <w:rPr>
          <w:vertAlign w:val="subscript"/>
        </w:rPr>
        <w:t>Estimate</w:t>
      </w:r>
      <w:r>
        <w:t xml:space="preserve"> is above the limit, perform the measurement on an additional third cut and repeat steps 1 to 3.</w:t>
      </w:r>
    </w:p>
    <w:p w14:paraId="24E699CF">
      <w:pPr>
        <w:pStyle w:val="49"/>
        <w:rPr>
          <w:lang w:val="en-US"/>
        </w:rPr>
      </w:pPr>
      <w:r>
        <w:t>Table I.5.3-1: The correction factor for two or three cuts dense sampling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7"/>
        <w:gridCol w:w="1127"/>
        <w:gridCol w:w="1252"/>
      </w:tblGrid>
      <w:tr w14:paraId="756B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3DA7710B">
            <w:pPr>
              <w:pStyle w:val="39"/>
            </w:pPr>
          </w:p>
        </w:tc>
        <w:tc>
          <w:tcPr>
            <w:tcW w:w="1127" w:type="dxa"/>
            <w:tcBorders>
              <w:top w:val="single" w:color="auto" w:sz="4" w:space="0"/>
              <w:left w:val="single" w:color="auto" w:sz="4" w:space="0"/>
              <w:bottom w:val="single" w:color="auto" w:sz="4" w:space="0"/>
              <w:right w:val="single" w:color="auto" w:sz="4" w:space="0"/>
            </w:tcBorders>
          </w:tcPr>
          <w:p w14:paraId="5BA87A7A">
            <w:pPr>
              <w:pStyle w:val="39"/>
            </w:pPr>
            <w:r>
              <w:t xml:space="preserve">Three cuts </w:t>
            </w:r>
          </w:p>
        </w:tc>
        <w:tc>
          <w:tcPr>
            <w:tcW w:w="1252" w:type="dxa"/>
            <w:tcBorders>
              <w:top w:val="single" w:color="auto" w:sz="4" w:space="0"/>
              <w:left w:val="single" w:color="auto" w:sz="4" w:space="0"/>
              <w:bottom w:val="single" w:color="auto" w:sz="4" w:space="0"/>
              <w:right w:val="single" w:color="auto" w:sz="4" w:space="0"/>
            </w:tcBorders>
          </w:tcPr>
          <w:p w14:paraId="696F7F19">
            <w:pPr>
              <w:pStyle w:val="39"/>
            </w:pPr>
            <w:r>
              <w:t>Two cuts</w:t>
            </w:r>
          </w:p>
        </w:tc>
      </w:tr>
      <w:tr w14:paraId="684F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67" w:type="dxa"/>
            <w:tcBorders>
              <w:top w:val="single" w:color="auto" w:sz="4" w:space="0"/>
              <w:left w:val="single" w:color="auto" w:sz="4" w:space="0"/>
              <w:bottom w:val="single" w:color="auto" w:sz="4" w:space="0"/>
              <w:right w:val="single" w:color="auto" w:sz="4" w:space="0"/>
            </w:tcBorders>
          </w:tcPr>
          <w:p w14:paraId="42D86A1A">
            <w:pPr>
              <w:pStyle w:val="40"/>
            </w:pPr>
            <w:r>
              <w:t>Correction factor ΔTRP (dB)</w:t>
            </w:r>
          </w:p>
        </w:tc>
        <w:tc>
          <w:tcPr>
            <w:tcW w:w="1127" w:type="dxa"/>
            <w:tcBorders>
              <w:top w:val="single" w:color="auto" w:sz="4" w:space="0"/>
              <w:left w:val="single" w:color="auto" w:sz="4" w:space="0"/>
              <w:bottom w:val="single" w:color="auto" w:sz="4" w:space="0"/>
              <w:right w:val="single" w:color="auto" w:sz="4" w:space="0"/>
            </w:tcBorders>
          </w:tcPr>
          <w:p w14:paraId="036B4615">
            <w:pPr>
              <w:pStyle w:val="40"/>
            </w:pPr>
            <w:r>
              <w:t>2.0</w:t>
            </w:r>
          </w:p>
        </w:tc>
        <w:tc>
          <w:tcPr>
            <w:tcW w:w="1252" w:type="dxa"/>
            <w:tcBorders>
              <w:top w:val="single" w:color="auto" w:sz="4" w:space="0"/>
              <w:left w:val="single" w:color="auto" w:sz="4" w:space="0"/>
              <w:bottom w:val="single" w:color="auto" w:sz="4" w:space="0"/>
              <w:right w:val="single" w:color="auto" w:sz="4" w:space="0"/>
            </w:tcBorders>
          </w:tcPr>
          <w:p w14:paraId="456C56EA">
            <w:pPr>
              <w:pStyle w:val="40"/>
            </w:pPr>
            <w:r>
              <w:t>2.5</w:t>
            </w:r>
          </w:p>
        </w:tc>
      </w:tr>
    </w:tbl>
    <w:p w14:paraId="40859701">
      <w:pPr>
        <w:pStyle w:val="45"/>
      </w:pPr>
    </w:p>
    <w:p w14:paraId="5FFED1E9">
      <w:pPr>
        <w:pStyle w:val="2"/>
      </w:pPr>
      <w:bookmarkStart w:id="269" w:name="_Toc74916205"/>
      <w:bookmarkStart w:id="270" w:name="_Toc58916129"/>
      <w:bookmarkStart w:id="271" w:name="_Toc156578323"/>
      <w:bookmarkStart w:id="272" w:name="_Toc106207103"/>
      <w:bookmarkStart w:id="273" w:name="_Toc37273282"/>
      <w:bookmarkStart w:id="274" w:name="_Toc176949637"/>
      <w:bookmarkStart w:id="275" w:name="_Toc36636336"/>
      <w:bookmarkStart w:id="276" w:name="_Toc21103126"/>
      <w:bookmarkStart w:id="277" w:name="_Toc124154955"/>
      <w:bookmarkStart w:id="278" w:name="_Toc76544716"/>
      <w:bookmarkStart w:id="279" w:name="_Toc45886372"/>
      <w:bookmarkStart w:id="280" w:name="_Toc82536838"/>
      <w:bookmarkStart w:id="281" w:name="_Toc99703311"/>
      <w:bookmarkStart w:id="282" w:name="_Toc98766948"/>
      <w:bookmarkStart w:id="283" w:name="_Toc187258444"/>
      <w:bookmarkStart w:id="284" w:name="_Toc115081105"/>
      <w:bookmarkStart w:id="285" w:name="_Toc53183417"/>
      <w:bookmarkStart w:id="286" w:name="_Toc137396880"/>
      <w:bookmarkStart w:id="287" w:name="_Toc89953131"/>
      <w:bookmarkStart w:id="288" w:name="_Toc66694180"/>
      <w:bookmarkStart w:id="289" w:name="_Toc58918310"/>
      <w:bookmarkStart w:id="290" w:name="_Toc122000056"/>
      <w:bookmarkStart w:id="291" w:name="_Toc76114830"/>
      <w:bookmarkStart w:id="292" w:name="_Toc29810975"/>
      <w:r>
        <w:t>I.6</w:t>
      </w:r>
      <w:r>
        <w:tab/>
      </w:r>
      <w:r>
        <w:t>Wave vector space grid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DC7BB99">
      <w:pPr>
        <w:rPr>
          <w:lang w:val="en-US"/>
        </w:rPr>
      </w:pPr>
      <w:r>
        <w:rPr>
          <w:rFonts w:hint="eastAsia"/>
          <w:lang w:val="en-US" w:eastAsia="zh-CN"/>
        </w:rPr>
        <w:t xml:space="preserve">If EUT is mounted along the yz plane as shown in </w:t>
      </w:r>
      <w:r>
        <w:rPr>
          <w:lang w:val="en-US" w:eastAsia="zh-CN"/>
        </w:rPr>
        <w:t>f</w:t>
      </w:r>
      <w:r>
        <w:rPr>
          <w:rFonts w:hint="eastAsia"/>
          <w:lang w:val="en-US" w:eastAsia="zh-CN"/>
        </w:rPr>
        <w:t>igure I.2.2-1, the reference step in wave vector space can be determined by</w:t>
      </w:r>
    </w:p>
    <w:p w14:paraId="0274C244">
      <w:pPr>
        <w:pStyle w:val="47"/>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u</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oMath>
    </w:p>
    <w:p w14:paraId="4898D02A">
      <w:pPr>
        <w:pStyle w:val="47"/>
        <w:rPr>
          <w:lang w:val="en-US" w:eastAsia="zh-CN"/>
        </w:rPr>
      </w:pPr>
      <w:r>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v</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r>
              <m:rP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m:rPr/>
                  <w:rPr>
                    <w:rFonts w:ascii="Cambria Math" w:hAnsi="Cambria Math"/>
                    <w:lang w:val="en-US" w:eastAsia="zh-CN"/>
                  </w:rPr>
                  <m:t>D</m:t>
                </m:r>
                <m:ctrlPr>
                  <w:rPr>
                    <w:rFonts w:ascii="Cambria Math" w:hAnsi="Cambria Math"/>
                    <w:lang w:val="en-US" w:eastAsia="zh-CN"/>
                  </w:rPr>
                </m:ctrlPr>
              </m:e>
              <m:sub>
                <m:r>
                  <m:rPr/>
                  <w:rPr>
                    <w:rFonts w:ascii="Cambria Math" w:hAnsi="Cambria Math"/>
                    <w:lang w:val="en-US" w:eastAsia="zh-CN"/>
                  </w:rPr>
                  <m:t>z</m:t>
                </m:r>
                <m:ctrlPr>
                  <w:rPr>
                    <w:rFonts w:ascii="Cambria Math" w:hAnsi="Cambria Math"/>
                    <w:lang w:val="en-US" w:eastAsia="zh-CN"/>
                  </w:rPr>
                </m:ctrlPr>
              </m:sub>
            </m:sSub>
            <m:ctrlPr>
              <w:rPr>
                <w:rFonts w:ascii="Cambria Math" w:hAnsi="Cambria Math"/>
                <w:lang w:val="en-US" w:eastAsia="zh-CN"/>
              </w:rPr>
            </m:ctrlPr>
          </m:den>
        </m:f>
      </m:oMath>
    </w:p>
    <w:p w14:paraId="2BA12839">
      <w:pPr>
        <w:rPr>
          <w:lang w:val="en-US"/>
        </w:rPr>
      </w:pPr>
      <w:r>
        <w:rPr>
          <w:rFonts w:hint="eastAsia"/>
          <w:lang w:val="en-US" w:eastAsia="zh-CN"/>
        </w:rPr>
        <w:t>w</w:t>
      </w:r>
      <w:r>
        <w:rPr>
          <w:lang w:val="en-US"/>
        </w:rPr>
        <w:t xml:space="preserve">here </w:t>
      </w:r>
      <w:r>
        <w:rPr>
          <w:rFonts w:hint="eastAsia"/>
          <w:i/>
          <w:iCs/>
          <w:lang w:val="en-US" w:eastAsia="zh-CN"/>
        </w:rPr>
        <w:t>D</w:t>
      </w:r>
      <w:r>
        <w:rPr>
          <w:rFonts w:hint="eastAsia"/>
          <w:i/>
          <w:iCs/>
          <w:vertAlign w:val="subscript"/>
          <w:lang w:val="en-US" w:eastAsia="zh-CN"/>
        </w:rPr>
        <w:t>y</w:t>
      </w:r>
      <w:r>
        <w:rPr>
          <w:rFonts w:hint="eastAsia"/>
          <w:lang w:val="en-US" w:eastAsia="zh-CN"/>
        </w:rPr>
        <w:t xml:space="preserve"> i</w:t>
      </w:r>
      <w:r>
        <w:rPr>
          <w:lang w:val="en-US"/>
        </w:rPr>
        <w:t xml:space="preserve">s </w:t>
      </w:r>
      <w:r>
        <w:rPr>
          <w:rFonts w:hint="eastAsia"/>
          <w:lang w:val="en-US" w:eastAsia="zh-CN"/>
        </w:rPr>
        <w:t xml:space="preserve">the length </w:t>
      </w:r>
      <w:r>
        <w:rPr>
          <w:lang w:val="en-US"/>
        </w:rPr>
        <w:t>of radiat</w:t>
      </w:r>
      <w:r>
        <w:rPr>
          <w:rFonts w:hint="eastAsia"/>
          <w:lang w:val="en-US" w:eastAsia="zh-CN"/>
        </w:rPr>
        <w:t>ing</w:t>
      </w:r>
      <w:r>
        <w:rPr>
          <w:lang w:val="en-US"/>
        </w:rPr>
        <w:t xml:space="preserve"> parts of </w:t>
      </w:r>
      <w:r>
        <w:rPr>
          <w:rFonts w:hint="eastAsia"/>
          <w:lang w:val="en-US" w:eastAsia="zh-CN"/>
        </w:rPr>
        <w:t>EUT</w:t>
      </w:r>
      <w:r>
        <w:rPr>
          <w:lang w:val="en-US"/>
        </w:rPr>
        <w:t xml:space="preserve"> along y-axis, </w:t>
      </w:r>
      <w:r>
        <w:rPr>
          <w:rFonts w:hint="eastAsia"/>
          <w:i/>
          <w:iCs/>
          <w:lang w:val="en-US" w:eastAsia="zh-CN"/>
        </w:rPr>
        <w:t>D</w:t>
      </w:r>
      <w:r>
        <w:rPr>
          <w:rFonts w:hint="eastAsia"/>
          <w:i/>
          <w:iCs/>
          <w:vertAlign w:val="subscript"/>
          <w:lang w:val="en-US" w:eastAsia="zh-CN"/>
        </w:rPr>
        <w:t>z</w:t>
      </w:r>
      <w:r>
        <w:rPr>
          <w:lang w:val="en-US"/>
        </w:rPr>
        <w:t xml:space="preserve"> is </w:t>
      </w:r>
      <w:r>
        <w:rPr>
          <w:rFonts w:hint="eastAsia"/>
          <w:lang w:val="en-US" w:eastAsia="zh-CN"/>
        </w:rPr>
        <w:t>the length</w:t>
      </w:r>
      <w:r>
        <w:rPr>
          <w:lang w:val="en-US"/>
        </w:rPr>
        <w:t xml:space="preserve"> of radiat</w:t>
      </w:r>
      <w:r>
        <w:rPr>
          <w:rFonts w:hint="eastAsia"/>
          <w:lang w:val="en-US" w:eastAsia="zh-CN"/>
        </w:rPr>
        <w:t>ing</w:t>
      </w:r>
      <w:r>
        <w:rPr>
          <w:lang w:val="en-US"/>
        </w:rPr>
        <w:t xml:space="preserve"> parts of </w:t>
      </w:r>
      <w:r>
        <w:rPr>
          <w:rFonts w:hint="eastAsia"/>
          <w:lang w:val="en-US" w:eastAsia="zh-CN"/>
        </w:rPr>
        <w:t>EUT</w:t>
      </w:r>
      <w:r>
        <w:rPr>
          <w:lang w:val="en-US"/>
        </w:rPr>
        <w:t xml:space="preserve"> along the z-axis.</w:t>
      </w:r>
    </w:p>
    <w:p w14:paraId="6090E115">
      <w:pPr>
        <w:rPr>
          <w:lang w:val="en-US" w:eastAsia="zh-CN"/>
        </w:rPr>
      </w:pPr>
      <w:r>
        <w:rPr>
          <w:lang w:val="en-US" w:eastAsia="zh-CN"/>
        </w:rPr>
        <w:t>According to the relationship between the normalized wave vector and spherical coordinate, the wave vector can be represented as following:</w:t>
      </w:r>
    </w:p>
    <w:p w14:paraId="3117BC52">
      <w:pPr>
        <w:rPr>
          <w:lang w:val="en-US" w:eastAsia="zh-CN"/>
        </w:rPr>
      </w:pPr>
      <m:oMathPara>
        <m:oMath>
          <m:r>
            <m:rP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d>
                <m:dPr>
                  <m:ctrlPr>
                    <w:rPr>
                      <w:rFonts w:ascii="Cambria Math" w:hAnsi="Cambria Math"/>
                      <w:lang w:val="en-US" w:eastAsia="zh-CN"/>
                    </w:rPr>
                  </m:ctrlPr>
                </m:dPr>
                <m:e>
                  <m:r>
                    <m:rPr/>
                    <w:rPr>
                      <w:rFonts w:ascii="Cambria Math" w:hAnsi="Cambria Math"/>
                      <w:lang w:val="en-US" w:eastAsia="zh-CN"/>
                    </w:rPr>
                    <m:t>θ</m:t>
                  </m:r>
                  <m:ctrlPr>
                    <w:rPr>
                      <w:rFonts w:ascii="Cambria Math" w:hAnsi="Cambria Math"/>
                      <w:lang w:val="en-US" w:eastAsia="zh-CN"/>
                    </w:rPr>
                  </m:ctrlPr>
                </m:e>
              </m:d>
              <m:ctrlPr>
                <w:rPr>
                  <w:rFonts w:ascii="Cambria Math" w:hAnsi="Cambria Math"/>
                  <w:lang w:val="en-US" w:eastAsia="zh-CN"/>
                </w:rPr>
              </m:ctrlPr>
            </m:e>
          </m:func>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d>
                <m:dPr>
                  <m:ctrlPr>
                    <w:rPr>
                      <w:rFonts w:ascii="Cambria Math" w:hAnsi="Cambria Math"/>
                      <w:lang w:val="en-US" w:eastAsia="zh-CN"/>
                    </w:rPr>
                  </m:ctrlPr>
                </m:dPr>
                <m:e>
                  <m:r>
                    <m:rPr/>
                    <w:rPr>
                      <w:rFonts w:ascii="Cambria Math" w:hAnsi="Cambria Math"/>
                      <w:lang w:val="en-US" w:eastAsia="zh-CN"/>
                    </w:rPr>
                    <m:t>ϕ</m:t>
                  </m:r>
                  <m:ctrlPr>
                    <w:rPr>
                      <w:rFonts w:ascii="Cambria Math" w:hAnsi="Cambria Math"/>
                      <w:lang w:val="en-US" w:eastAsia="zh-CN"/>
                    </w:rPr>
                  </m:ctrlPr>
                </m:e>
              </m:d>
              <m:ctrlPr>
                <w:rPr>
                  <w:rFonts w:ascii="Cambria Math" w:hAnsi="Cambria Math"/>
                  <w:lang w:val="en-US" w:eastAsia="zh-CN"/>
                </w:rPr>
              </m:ctrlPr>
            </m:e>
          </m:func>
          <m:r>
            <m:rPr>
              <m:sty m:val="p"/>
            </m:rPr>
            <w:rPr>
              <w:rFonts w:ascii="Cambria Math" w:hAnsi="Cambria Math"/>
              <w:lang w:val="en-US" w:eastAsia="zh-CN"/>
            </w:rPr>
            <m:t xml:space="preserve">, </m:t>
          </m:r>
          <m:r>
            <m:rPr/>
            <w:rPr>
              <w:rFonts w:ascii="Cambria Math" w:hAnsi="Cambria Math"/>
              <w:lang w:val="en-US" w:eastAsia="zh-CN"/>
            </w:rPr>
            <m:t>v</m:t>
          </m:r>
          <m:r>
            <m:rPr>
              <m:sty m:val="p"/>
            </m:rPr>
            <w:rPr>
              <w:rFonts w:ascii="Cambria Math" w:hAnsi="Cambria Math"/>
              <w:lang w:val="en-US" w:eastAsia="zh-CN"/>
            </w:rPr>
            <m:t>=cos⁡(</m:t>
          </m:r>
          <m:r>
            <m:rPr/>
            <w:rPr>
              <w:rFonts w:ascii="Cambria Math" w:hAnsi="Cambria Math"/>
              <w:lang w:val="en-US" w:eastAsia="zh-CN"/>
            </w:rPr>
            <m:t>θ</m:t>
          </m:r>
          <m:r>
            <m:rPr>
              <m:sty m:val="p"/>
            </m:rPr>
            <w:rPr>
              <w:rFonts w:ascii="Cambria Math" w:hAnsi="Cambria Math"/>
              <w:lang w:val="en-US" w:eastAsia="zh-CN"/>
            </w:rPr>
            <m:t>)</m:t>
          </m:r>
        </m:oMath>
      </m:oMathPara>
    </w:p>
    <w:p w14:paraId="3FE5ED59">
      <w:pPr>
        <w:rPr>
          <w:lang w:val="en-US" w:eastAsia="zh-CN"/>
        </w:rPr>
      </w:pPr>
      <w:r>
        <w:rPr>
          <w:rFonts w:hint="eastAsia"/>
          <w:lang w:val="en-US" w:eastAsia="zh-CN"/>
        </w:rPr>
        <w:t>The total radiated power (</w:t>
      </w:r>
      <w:r>
        <w:rPr>
          <w:lang w:val="en-US"/>
        </w:rPr>
        <w:t>TRP</w:t>
      </w:r>
      <w:r>
        <w:rPr>
          <w:rFonts w:hint="eastAsia"/>
          <w:lang w:val="en-US" w:eastAsia="zh-CN"/>
        </w:rPr>
        <w:t xml:space="preserve">) in the wave vector space </w:t>
      </w:r>
      <w:r>
        <w:rPr>
          <w:lang w:val="en-US"/>
        </w:rPr>
        <w:t xml:space="preserve">is </w:t>
      </w:r>
      <w:r>
        <w:rPr>
          <w:rFonts w:hint="eastAsia"/>
          <w:lang w:val="en-US" w:eastAsia="zh-CN"/>
        </w:rPr>
        <w:t>determined by</w:t>
      </w:r>
      <w:r>
        <w:rPr>
          <w:lang w:val="en-US" w:eastAsia="zh-CN"/>
        </w:rPr>
        <w:t>:</w:t>
      </w:r>
    </w:p>
    <w:p w14:paraId="72CF33E3">
      <w:pPr>
        <w:pStyle w:val="47"/>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ctrlPr>
              <w:rPr>
                <w:rFonts w:ascii="Cambria Math" w:hAnsi="Cambria Math"/>
                <w:lang w:val="en-US" w:eastAsia="zh-CN"/>
              </w:rPr>
            </m:ctrlPr>
          </m:e>
          <m:sub>
            <m:r>
              <m:rPr/>
              <w:rPr>
                <w:rFonts w:ascii="Cambria Math" w:hAnsi="Cambria Math"/>
                <w:lang w:val="en-US" w:eastAsia="zh-CN"/>
              </w:rPr>
              <m:t>estimate</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m:rPr/>
                  <w:rPr>
                    <w:rFonts w:ascii="Cambria Math" w:hAnsi="Cambria Math"/>
                    <w:lang w:val="en-US" w:eastAsia="zh-CN"/>
                  </w:rPr>
                  <m:t>u</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Δ</m:t>
            </m:r>
            <m:sSub>
              <m:sSubPr>
                <m:ctrlPr>
                  <w:rPr>
                    <w:rFonts w:ascii="Cambria Math" w:hAnsi="Cambria Math"/>
                    <w:lang w:val="en-US" w:eastAsia="zh-CN"/>
                  </w:rPr>
                </m:ctrlPr>
              </m:sSubPr>
              <m:e>
                <m:r>
                  <m:rPr/>
                  <w:rPr>
                    <w:rFonts w:ascii="Cambria Math" w:hAnsi="Cambria Math"/>
                    <w:lang w:val="en-US" w:eastAsia="zh-CN"/>
                  </w:rPr>
                  <m:t>v</m:t>
                </m:r>
                <m:ctrlPr>
                  <w:rPr>
                    <w:rFonts w:ascii="Cambria Math" w:hAnsi="Cambria Math"/>
                    <w:lang w:val="en-US" w:eastAsia="zh-CN"/>
                  </w:rPr>
                </m:ctrlPr>
              </m:e>
              <m:sub>
                <m:r>
                  <m:rPr>
                    <m:sty m:val="p"/>
                  </m:rPr>
                  <w:rPr>
                    <w:rFonts w:ascii="Cambria Math" w:hAnsi="Cambria Math"/>
                    <w:lang w:val="en-US" w:eastAsia="zh-CN"/>
                  </w:rPr>
                  <m:t>ref</m:t>
                </m:r>
                <m:ctrlPr>
                  <w:rPr>
                    <w:rFonts w:ascii="Cambria Math" w:hAnsi="Cambria Math"/>
                    <w:lang w:val="en-US" w:eastAsia="zh-CN"/>
                  </w:rPr>
                </m:ctrlPr>
              </m:sub>
            </m:sSub>
            <m:ctrlPr>
              <w:rPr>
                <w:rFonts w:ascii="Cambria Math" w:hAnsi="Cambria Math"/>
                <w:lang w:val="en-US" w:eastAsia="zh-CN"/>
              </w:rPr>
            </m:ctrlPr>
          </m:num>
          <m:den>
            <m:r>
              <m:rPr>
                <m:sty m:val="p"/>
              </m:rPr>
              <w:rPr>
                <w:rFonts w:ascii="Cambria Math" w:hAnsi="Cambria Math"/>
                <w:lang w:val="en-US" w:eastAsia="zh-CN"/>
              </w:rPr>
              <m:t>4</m:t>
            </m:r>
            <m:r>
              <m:rPr/>
              <w:rPr>
                <w:rFonts w:ascii="Cambria Math" w:hAnsi="Cambria Math"/>
                <w:lang w:val="en-US" w:eastAsia="zh-CN"/>
              </w:rPr>
              <m:t>π</m:t>
            </m:r>
            <m:ctrlPr>
              <w:rPr>
                <w:rFonts w:ascii="Cambria Math" w:hAnsi="Cambria Math"/>
                <w:lang w:val="en-US" w:eastAsia="zh-CN"/>
              </w:rPr>
            </m:ctrlP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m:rPr/>
                          <w:rPr>
                            <w:rFonts w:ascii="Cambria Math" w:hAnsi="Cambria Math"/>
                            <w:lang w:val="en-US" w:eastAsia="zh-CN"/>
                          </w:rPr>
                          <m:t>u</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v</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&lt;1</m:t>
                    </m:r>
                    <m:ctrlPr>
                      <w:rPr>
                        <w:rFonts w:ascii="Cambria Math" w:hAnsi="Cambria Math"/>
                        <w:lang w:val="en-US" w:eastAsia="zh-CN"/>
                      </w:rPr>
                    </m:ctrlPr>
                  </m:e>
                  <m:e>
                    <m:r>
                      <m:rPr>
                        <m:sty m:val="p"/>
                      </m:rPr>
                      <w:rPr>
                        <w:rFonts w:ascii="Cambria Math" w:hAnsi="Cambria Math"/>
                        <w:lang w:val="en-US" w:eastAsia="zh-CN"/>
                      </w:rPr>
                      <m:t>cos</m:t>
                    </m:r>
                    <m:r>
                      <m:rPr/>
                      <w:rPr>
                        <w:rFonts w:ascii="Cambria Math" w:hAnsi="Cambria Math"/>
                        <w:lang w:val="en-US" w:eastAsia="zh-CN"/>
                      </w:rPr>
                      <m:t>ϕ</m:t>
                    </m:r>
                    <m:r>
                      <m:rPr>
                        <m:sty m:val="p"/>
                      </m:rPr>
                      <w:rPr>
                        <w:rFonts w:ascii="Cambria Math" w:hAnsi="Cambria Math"/>
                        <w:lang w:val="en-US" w:eastAsia="zh-CN"/>
                      </w:rPr>
                      <m:t>&gt;0</m:t>
                    </m:r>
                    <m:ctrlPr>
                      <w:rPr>
                        <w:rFonts w:ascii="Cambria Math" w:hAnsi="Cambria Math"/>
                        <w:lang w:val="en-US" w:eastAsia="zh-CN"/>
                      </w:rPr>
                    </m:ctrlPr>
                  </m:e>
                </m:eqArr>
                <m:ctrlPr>
                  <w:rPr>
                    <w:rFonts w:ascii="Cambria Math" w:hAnsi="Cambria Math"/>
                    <w:lang w:val="en-US" w:eastAsia="zh-CN"/>
                  </w:rPr>
                </m:ctrlPr>
              </m:sub>
              <m:sup>
                <m:ctrlPr>
                  <w:rPr>
                    <w:rFonts w:ascii="Cambria Math" w:hAnsi="Cambria Math"/>
                    <w:lang w:val="en-US" w:eastAsia="zh-CN"/>
                  </w:rPr>
                </m:ctrlPr>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d>
                    <m:ctrlPr>
                      <w:rPr>
                        <w:rFonts w:ascii="Cambria Math" w:hAnsi="Cambria Math"/>
                        <w:lang w:val="en-US" w:eastAsia="zh-CN"/>
                      </w:rPr>
                    </m:ctrlPr>
                  </m:num>
                  <m:den>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ctrlPr>
                          <w:rPr>
                            <w:rFonts w:ascii="Cambria Math" w:hAnsi="Cambria Math"/>
                            <w:lang w:val="en-US" w:eastAsia="zh-CN"/>
                          </w:rPr>
                        </m:ctrlPr>
                      </m:e>
                    </m:d>
                    <m:ctrlPr>
                      <w:rPr>
                        <w:rFonts w:ascii="Cambria Math" w:hAnsi="Cambria Math"/>
                        <w:lang w:val="en-US" w:eastAsia="zh-CN"/>
                      </w:rPr>
                    </m:ctrlPr>
                  </m:den>
                </m:f>
                <m:r>
                  <m:rPr>
                    <m:sty m:val="p"/>
                  </m:rPr>
                  <w:rPr>
                    <w:rFonts w:ascii="Cambria Math" w:hAnsi="Cambria Math"/>
                    <w:lang w:val="en-US" w:eastAsia="zh-CN"/>
                  </w:rPr>
                  <m:t xml:space="preserve"> </m:t>
                </m:r>
                <m:ctrlPr>
                  <w:rPr>
                    <w:rFonts w:ascii="Cambria Math" w:hAnsi="Cambria Math"/>
                    <w:lang w:val="en-US" w:eastAsia="zh-CN"/>
                  </w:rPr>
                </m:ctrlP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m:rPr/>
                          <w:rPr>
                            <w:rFonts w:ascii="Cambria Math" w:hAnsi="Cambria Math"/>
                            <w:lang w:val="en-US" w:eastAsia="zh-CN"/>
                          </w:rPr>
                          <m:t>u</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m:t>
                    </m:r>
                    <m:sSup>
                      <m:sSupPr>
                        <m:ctrlPr>
                          <w:rPr>
                            <w:rFonts w:ascii="Cambria Math" w:hAnsi="Cambria Math"/>
                            <w:lang w:val="en-US" w:eastAsia="zh-CN"/>
                          </w:rPr>
                        </m:ctrlPr>
                      </m:sSupPr>
                      <m:e>
                        <m:r>
                          <m:rPr/>
                          <w:rPr>
                            <w:rFonts w:ascii="Cambria Math" w:hAnsi="Cambria Math"/>
                            <w:lang w:val="en-US" w:eastAsia="zh-CN"/>
                          </w:rPr>
                          <m:t>v</m:t>
                        </m:r>
                        <m:ctrlPr>
                          <w:rPr>
                            <w:rFonts w:ascii="Cambria Math" w:hAnsi="Cambria Math"/>
                            <w:lang w:val="en-US" w:eastAsia="zh-CN"/>
                          </w:rPr>
                        </m:ctrlPr>
                      </m:e>
                      <m:sup>
                        <m:r>
                          <m:rPr>
                            <m:sty m:val="p"/>
                          </m:rPr>
                          <w:rPr>
                            <w:rFonts w:ascii="Cambria Math" w:hAnsi="Cambria Math"/>
                            <w:lang w:val="en-US" w:eastAsia="zh-CN"/>
                          </w:rPr>
                          <m:t>2</m:t>
                        </m:r>
                        <m:ctrlPr>
                          <w:rPr>
                            <w:rFonts w:ascii="Cambria Math" w:hAnsi="Cambria Math"/>
                            <w:lang w:val="en-US" w:eastAsia="zh-CN"/>
                          </w:rPr>
                        </m:ctrlPr>
                      </m:sup>
                    </m:sSup>
                    <m:r>
                      <m:rPr>
                        <m:sty m:val="p"/>
                      </m:rPr>
                      <w:rPr>
                        <w:rFonts w:ascii="Cambria Math" w:hAnsi="Cambria Math"/>
                        <w:lang w:val="en-US" w:eastAsia="zh-CN"/>
                      </w:rPr>
                      <m:t>&lt;1</m:t>
                    </m:r>
                    <m:ctrlPr>
                      <w:rPr>
                        <w:rFonts w:ascii="Cambria Math" w:hAnsi="Cambria Math"/>
                        <w:lang w:val="en-US" w:eastAsia="zh-CN"/>
                      </w:rPr>
                    </m:ctrlPr>
                  </m:e>
                  <m:e>
                    <m:r>
                      <m:rPr>
                        <m:sty m:val="p"/>
                      </m:rPr>
                      <w:rPr>
                        <w:rFonts w:ascii="Cambria Math" w:hAnsi="Cambria Math"/>
                        <w:lang w:val="en-US" w:eastAsia="zh-CN"/>
                      </w:rPr>
                      <m:t>cos</m:t>
                    </m:r>
                    <m:r>
                      <m:rPr/>
                      <w:rPr>
                        <w:rFonts w:ascii="Cambria Math" w:hAnsi="Cambria Math"/>
                        <w:lang w:val="en-US" w:eastAsia="zh-CN"/>
                      </w:rPr>
                      <m:t>ϕ</m:t>
                    </m:r>
                    <m:r>
                      <m:rPr>
                        <m:sty m:val="p"/>
                      </m:rPr>
                      <w:rPr>
                        <w:rFonts w:ascii="Cambria Math" w:hAnsi="Cambria Math"/>
                        <w:lang w:val="en-US" w:eastAsia="zh-CN"/>
                      </w:rPr>
                      <m:t>&lt;0</m:t>
                    </m:r>
                    <m:ctrlPr>
                      <w:rPr>
                        <w:rFonts w:ascii="Cambria Math" w:hAnsi="Cambria Math"/>
                        <w:lang w:val="en-US" w:eastAsia="zh-CN"/>
                      </w:rPr>
                    </m:ctrlPr>
                  </m:e>
                </m:eqArr>
                <m:ctrlPr>
                  <w:rPr>
                    <w:rFonts w:ascii="Cambria Math" w:hAnsi="Cambria Math"/>
                    <w:lang w:val="en-US" w:eastAsia="zh-CN"/>
                  </w:rPr>
                </m:ctrlPr>
              </m:sub>
              <m:sup>
                <m:ctrlPr>
                  <w:rPr>
                    <w:rFonts w:ascii="Cambria Math" w:hAnsi="Cambria Math"/>
                    <w:lang w:val="en-US" w:eastAsia="zh-CN"/>
                  </w:rPr>
                </m:ctrlPr>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r>
                          <m:rPr>
                            <m:sty m:val="p"/>
                          </m:rPr>
                          <w:rPr>
                            <w:rFonts w:ascii="Cambria Math" w:hAnsi="Cambria Math"/>
                            <w:lang w:val="en-US" w:eastAsia="zh-CN"/>
                          </w:rPr>
                          <m:t>,</m:t>
                        </m:r>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d>
                    <m:ctrlPr>
                      <w:rPr>
                        <w:rFonts w:ascii="Cambria Math" w:hAnsi="Cambria Math"/>
                        <w:lang w:val="en-US" w:eastAsia="zh-CN"/>
                      </w:rPr>
                    </m:ctrlPr>
                  </m:num>
                  <m:den>
                    <m:func>
                      <m:funcPr>
                        <m:ctrlPr>
                          <w:rPr>
                            <w:rFonts w:ascii="Cambria Math" w:hAnsi="Cambria Math"/>
                            <w:lang w:val="en-US" w:eastAsia="zh-CN"/>
                          </w:rPr>
                        </m:ctrlPr>
                      </m:funcPr>
                      <m:fName>
                        <m:r>
                          <m:rPr>
                            <m:sty m:val="p"/>
                          </m:rPr>
                          <w:rPr>
                            <w:rFonts w:ascii="Cambria Math" w:hAnsi="Cambria Math"/>
                            <w:lang w:val="en-US" w:eastAsia="zh-CN"/>
                          </w:rPr>
                          <m:t>sin</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θ</m:t>
                            </m:r>
                            <m:ctrlPr>
                              <w:rPr>
                                <w:rFonts w:ascii="Cambria Math" w:hAnsi="Cambria Math"/>
                                <w:lang w:val="en-US" w:eastAsia="zh-CN"/>
                              </w:rPr>
                            </m:ctrlPr>
                          </m:e>
                          <m:sub>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ctrlPr>
                              <w:rPr>
                                <w:rFonts w:ascii="Cambria Math" w:hAnsi="Cambria Math"/>
                                <w:lang w:val="en-US" w:eastAsia="zh-CN"/>
                              </w:rPr>
                            </m:ctrlPr>
                          </m:fName>
                          <m:e>
                            <m:sSub>
                              <m:sSubPr>
                                <m:ctrlPr>
                                  <w:rPr>
                                    <w:rFonts w:ascii="Cambria Math" w:hAnsi="Cambria Math"/>
                                    <w:lang w:val="en-US" w:eastAsia="zh-CN"/>
                                  </w:rPr>
                                </m:ctrlPr>
                              </m:sSubPr>
                              <m:e>
                                <m:r>
                                  <m:rPr/>
                                  <w:rPr>
                                    <w:rFonts w:ascii="Cambria Math" w:hAnsi="Cambria Math"/>
                                    <w:lang w:val="en-US" w:eastAsia="zh-CN"/>
                                  </w:rPr>
                                  <m:t>ϕ</m:t>
                                </m:r>
                                <m:ctrlPr>
                                  <w:rPr>
                                    <w:rFonts w:ascii="Cambria Math" w:hAnsi="Cambria Math"/>
                                    <w:lang w:val="en-US" w:eastAsia="zh-CN"/>
                                  </w:rPr>
                                </m:ctrlPr>
                              </m:e>
                              <m:sub>
                                <m:r>
                                  <m:rPr/>
                                  <w:rPr>
                                    <w:rFonts w:ascii="Cambria Math" w:hAnsi="Cambria Math"/>
                                    <w:lang w:val="en-US" w:eastAsia="zh-CN"/>
                                  </w:rPr>
                                  <m:t>m</m:t>
                                </m:r>
                                <m:r>
                                  <m:rPr>
                                    <m:sty m:val="p"/>
                                  </m:rPr>
                                  <w:rPr>
                                    <w:rFonts w:ascii="Cambria Math" w:hAnsi="Cambria Math"/>
                                    <w:lang w:val="en-US" w:eastAsia="zh-CN"/>
                                  </w:rPr>
                                  <m:t>,</m:t>
                                </m:r>
                                <m:r>
                                  <m:rPr/>
                                  <w:rPr>
                                    <w:rFonts w:ascii="Cambria Math" w:hAnsi="Cambria Math"/>
                                    <w:lang w:val="en-US" w:eastAsia="zh-CN"/>
                                  </w:rPr>
                                  <m:t>n</m:t>
                                </m:r>
                                <m:ctrlPr>
                                  <w:rPr>
                                    <w:rFonts w:ascii="Cambria Math" w:hAnsi="Cambria Math"/>
                                    <w:lang w:val="en-US" w:eastAsia="zh-CN"/>
                                  </w:rPr>
                                </m:ctrlPr>
                              </m:sub>
                            </m:sSub>
                            <m:ctrlPr>
                              <w:rPr>
                                <w:rFonts w:ascii="Cambria Math" w:hAnsi="Cambria Math"/>
                                <w:lang w:val="en-US" w:eastAsia="zh-CN"/>
                              </w:rPr>
                            </m:ctrlPr>
                          </m:e>
                        </m:func>
                        <m:ctrlPr>
                          <w:rPr>
                            <w:rFonts w:ascii="Cambria Math" w:hAnsi="Cambria Math"/>
                            <w:lang w:val="en-US" w:eastAsia="zh-CN"/>
                          </w:rPr>
                        </m:ctrlPr>
                      </m:e>
                    </m:d>
                    <m:ctrlPr>
                      <w:rPr>
                        <w:rFonts w:ascii="Cambria Math" w:hAnsi="Cambria Math"/>
                        <w:lang w:val="en-US" w:eastAsia="zh-CN"/>
                      </w:rPr>
                    </m:ctrlPr>
                  </m:den>
                </m:f>
                <m:r>
                  <m:rPr>
                    <m:sty m:val="p"/>
                  </m:rPr>
                  <w:rPr>
                    <w:rFonts w:ascii="Cambria Math" w:hAnsi="Cambria Math"/>
                    <w:lang w:val="en-US" w:eastAsia="zh-CN"/>
                  </w:rPr>
                  <m:t xml:space="preserve"> </m:t>
                </m:r>
                <m:ctrlPr>
                  <w:rPr>
                    <w:rFonts w:ascii="Cambria Math" w:hAnsi="Cambria Math"/>
                    <w:lang w:val="en-US" w:eastAsia="zh-CN"/>
                  </w:rPr>
                </m:ctrlPr>
              </m:e>
            </m:nary>
            <m:ctrlPr>
              <w:rPr>
                <w:rFonts w:ascii="Cambria Math" w:hAnsi="Cambria Math"/>
                <w:lang w:val="en-US" w:eastAsia="zh-CN"/>
              </w:rPr>
            </m:ctrlPr>
          </m:e>
        </m:d>
      </m:oMath>
    </w:p>
    <w:p w14:paraId="55298F5A">
      <w:pPr>
        <w:rPr>
          <w:rFonts w:ascii="Cambria Math" w:hAnsi="Cambria Math"/>
          <w:i/>
          <w:lang w:val="en-US"/>
        </w:rPr>
      </w:pPr>
      <w: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(sparsity factor)</w:t>
      </w:r>
      <w:r>
        <w:rPr>
          <w:lang w:val="en-US" w:eastAsia="zh-CN"/>
        </w:rPr>
        <w:t xml:space="preserve"> </w:t>
      </w:r>
      <w:r>
        <w:t>of the grid is defined as</w:t>
      </w:r>
    </w:p>
    <w:p w14:paraId="366D5A05">
      <w:pPr>
        <w:pStyle w:val="47"/>
        <w:rPr>
          <w:lang w:val="en-US"/>
        </w:rPr>
      </w:pPr>
      <w:r>
        <w:rPr>
          <w:lang w:eastAsia="zh-CN"/>
        </w:rPr>
        <w:tab/>
      </w:r>
      <m:oMath>
        <m:r>
          <m:rP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u</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u</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v</m:t>
                        </m:r>
                        <m:ctrlPr>
                          <w:rPr>
                            <w:rFonts w:ascii="Cambria Math" w:hAnsi="Cambria Math"/>
                            <w:lang w:eastAsia="zh-CN"/>
                          </w:rPr>
                        </m:ctrlPr>
                      </m:e>
                      <m:sub>
                        <m:r>
                          <m:rP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14:paraId="5A7B6FC9">
      <w:r>
        <w:rPr>
          <w:rFonts w:eastAsia="MS Mincho"/>
        </w:rPr>
        <w:t xml:space="preserve">Where </w:t>
      </w:r>
      <m:oMath>
        <m:r>
          <m:rPr/>
          <w:rPr>
            <w:rFonts w:ascii="Cambria Math" w:hAnsi="Cambria Math" w:eastAsia="MS Mincho"/>
          </w:rPr>
          <m:t>∆</m:t>
        </m:r>
        <m:sSub>
          <m:sSubPr>
            <m:ctrlPr>
              <w:rPr>
                <w:rFonts w:ascii="Cambria Math" w:hAnsi="Cambria Math"/>
                <w:i/>
                <w:lang w:eastAsia="zh-CN"/>
              </w:rPr>
            </m:ctrlPr>
          </m:sSubPr>
          <m:e>
            <m:r>
              <m:rPr/>
              <w:rPr>
                <w:rFonts w:ascii="Cambria Math" w:hAnsi="Cambria Math"/>
                <w:lang w:eastAsia="zh-CN"/>
              </w:rPr>
              <m:t>u</m:t>
            </m:r>
            <m:ctrlPr>
              <w:rPr>
                <w:rFonts w:ascii="Cambria Math" w:hAnsi="Cambria Math"/>
                <w:i/>
                <w:lang w:eastAsia="zh-CN"/>
              </w:rPr>
            </m:ctrlPr>
          </m:e>
          <m:sub>
            <m:r>
              <m:rPr/>
              <w:rPr>
                <w:rFonts w:ascii="Cambria Math" w:hAnsi="Cambria Math"/>
                <w:lang w:eastAsia="zh-CN"/>
              </w:rPr>
              <m:t>grid</m:t>
            </m:r>
            <m:ctrlPr>
              <w:rPr>
                <w:rFonts w:ascii="Cambria Math" w:hAnsi="Cambria Math"/>
                <w:i/>
                <w:lang w:eastAsia="zh-CN"/>
              </w:rPr>
            </m:ctrlPr>
          </m:sub>
        </m:sSub>
      </m:oMath>
      <w:r>
        <w:rPr>
          <w:rFonts w:eastAsia="MS Mincho"/>
          <w:lang w:val="en-US"/>
        </w:rPr>
        <w:t xml:space="preserve">and </w:t>
      </w:r>
      <m:oMath>
        <m:sSub>
          <m:sSubPr>
            <m:ctrlPr>
              <w:rPr>
                <w:rFonts w:ascii="Cambria Math" w:hAnsi="Cambria Math"/>
                <w:i/>
                <w:lang w:eastAsia="zh-CN"/>
              </w:rPr>
            </m:ctrlPr>
          </m:sSubPr>
          <m:e>
            <m:r>
              <m:rPr/>
              <w:rPr>
                <w:rFonts w:ascii="Cambria Math" w:hAnsi="Cambria Math"/>
                <w:lang w:eastAsia="zh-CN"/>
              </w:rPr>
              <m:t>∆v</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steps used in the wave vector space in the measurement and the upper bound of their value is 1/12, corresponding to 15 degree steps close to boresight.</w:t>
      </w:r>
    </w:p>
    <w:p w14:paraId="0F69B207">
      <w:pPr>
        <w:pStyle w:val="2"/>
      </w:pPr>
      <w:bookmarkStart w:id="293" w:name="_Toc82536839"/>
      <w:bookmarkStart w:id="294" w:name="_Toc76544717"/>
      <w:bookmarkStart w:id="295" w:name="_Toc74916206"/>
      <w:bookmarkStart w:id="296" w:name="_Toc76114831"/>
      <w:bookmarkStart w:id="297" w:name="_Toc106207104"/>
      <w:bookmarkStart w:id="298" w:name="_Toc99703312"/>
      <w:bookmarkStart w:id="299" w:name="_Toc29810976"/>
      <w:bookmarkStart w:id="300" w:name="_Toc137396881"/>
      <w:bookmarkStart w:id="301" w:name="_Toc53183418"/>
      <w:bookmarkStart w:id="302" w:name="_Toc21103127"/>
      <w:bookmarkStart w:id="303" w:name="_Toc115081106"/>
      <w:bookmarkStart w:id="304" w:name="_Toc37273283"/>
      <w:bookmarkStart w:id="305" w:name="_Toc187258445"/>
      <w:bookmarkStart w:id="306" w:name="_Toc58916130"/>
      <w:bookmarkStart w:id="307" w:name="_Toc89953132"/>
      <w:bookmarkStart w:id="308" w:name="_Toc122000057"/>
      <w:bookmarkStart w:id="309" w:name="_Toc36636337"/>
      <w:bookmarkStart w:id="310" w:name="_Toc66694181"/>
      <w:bookmarkStart w:id="311" w:name="_Toc45886373"/>
      <w:bookmarkStart w:id="312" w:name="_Toc176949638"/>
      <w:bookmarkStart w:id="313" w:name="_Toc58918311"/>
      <w:bookmarkStart w:id="314" w:name="_Toc124154956"/>
      <w:bookmarkStart w:id="315" w:name="_Toc156578324"/>
      <w:bookmarkStart w:id="316" w:name="_Toc98766949"/>
      <w:r>
        <w:t>I.7</w:t>
      </w:r>
      <w:r>
        <w:tab/>
      </w:r>
      <w:r>
        <w:t>Void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4DF6200">
      <w:pPr>
        <w:pStyle w:val="2"/>
      </w:pPr>
      <w:bookmarkStart w:id="317" w:name="_Toc29810977"/>
      <w:bookmarkStart w:id="318" w:name="_Toc74916207"/>
      <w:bookmarkStart w:id="319" w:name="_Toc58918312"/>
      <w:bookmarkStart w:id="320" w:name="_Toc176949639"/>
      <w:bookmarkStart w:id="321" w:name="_Toc58916131"/>
      <w:bookmarkStart w:id="322" w:name="_Toc89953133"/>
      <w:bookmarkStart w:id="323" w:name="_Toc82536840"/>
      <w:bookmarkStart w:id="324" w:name="_Toc124154957"/>
      <w:bookmarkStart w:id="325" w:name="_Toc45886374"/>
      <w:bookmarkStart w:id="326" w:name="_Toc106207105"/>
      <w:bookmarkStart w:id="327" w:name="_Toc98766950"/>
      <w:bookmarkStart w:id="328" w:name="_Toc76544718"/>
      <w:bookmarkStart w:id="329" w:name="_Toc137396882"/>
      <w:bookmarkStart w:id="330" w:name="_Toc76114832"/>
      <w:bookmarkStart w:id="331" w:name="_Toc115081107"/>
      <w:bookmarkStart w:id="332" w:name="_Toc21103128"/>
      <w:bookmarkStart w:id="333" w:name="_Toc187258446"/>
      <w:bookmarkStart w:id="334" w:name="_Toc99703313"/>
      <w:bookmarkStart w:id="335" w:name="_Toc37273284"/>
      <w:bookmarkStart w:id="336" w:name="_Toc66694182"/>
      <w:bookmarkStart w:id="337" w:name="_Toc53183419"/>
      <w:bookmarkStart w:id="338" w:name="_Toc156578325"/>
      <w:bookmarkStart w:id="339" w:name="_Toc122000058"/>
      <w:bookmarkStart w:id="340" w:name="_Toc36636338"/>
      <w:r>
        <w:t>I.8</w:t>
      </w:r>
      <w:r>
        <w:tab/>
      </w:r>
      <w:r>
        <w:t>Void</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68BF8153">
      <w:pPr>
        <w:pStyle w:val="2"/>
      </w:pPr>
      <w:bookmarkStart w:id="341" w:name="_Toc99703314"/>
      <w:bookmarkStart w:id="342" w:name="_Toc66694183"/>
      <w:bookmarkStart w:id="343" w:name="_Toc37273285"/>
      <w:bookmarkStart w:id="344" w:name="_Toc89953134"/>
      <w:bookmarkStart w:id="345" w:name="_Toc187258447"/>
      <w:bookmarkStart w:id="346" w:name="_Toc53183420"/>
      <w:bookmarkStart w:id="347" w:name="_Toc124154958"/>
      <w:bookmarkStart w:id="348" w:name="_Toc98766951"/>
      <w:bookmarkStart w:id="349" w:name="_Toc176949640"/>
      <w:bookmarkStart w:id="350" w:name="_Toc58918313"/>
      <w:bookmarkStart w:id="351" w:name="_Toc82536841"/>
      <w:bookmarkStart w:id="352" w:name="_Toc76114833"/>
      <w:bookmarkStart w:id="353" w:name="_Toc29810978"/>
      <w:bookmarkStart w:id="354" w:name="_Toc115081108"/>
      <w:bookmarkStart w:id="355" w:name="_Toc76544719"/>
      <w:bookmarkStart w:id="356" w:name="_Toc122000059"/>
      <w:bookmarkStart w:id="357" w:name="_Toc137396883"/>
      <w:bookmarkStart w:id="358" w:name="_Toc156578326"/>
      <w:bookmarkStart w:id="359" w:name="_Toc45886375"/>
      <w:bookmarkStart w:id="360" w:name="_Toc21103129"/>
      <w:bookmarkStart w:id="361" w:name="_Toc74916208"/>
      <w:bookmarkStart w:id="362" w:name="_Toc58916132"/>
      <w:bookmarkStart w:id="363" w:name="_Toc106207106"/>
      <w:bookmarkStart w:id="364" w:name="_Toc36636339"/>
      <w:r>
        <w:t>I.9</w:t>
      </w:r>
      <w:r>
        <w:tab/>
      </w:r>
      <w:r>
        <w:t>Full sphere with sparse sampling</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5D13980">
      <w:r>
        <w:t>The procedure is as follows:</w:t>
      </w:r>
    </w:p>
    <w:p w14:paraId="1697B001">
      <w:pPr>
        <w:pStyle w:val="54"/>
      </w:pPr>
      <w:r>
        <w:t>1)</w:t>
      </w:r>
      <w:r>
        <w:tab/>
      </w:r>
      <w:r>
        <w:t>Set the angular grid:</w:t>
      </w:r>
    </w:p>
    <w:p w14:paraId="5447DB4C">
      <w:pPr>
        <w:pStyle w:val="114"/>
      </w:pPr>
      <w:r>
        <w:t>a.</w:t>
      </w:r>
      <w:r>
        <w:tab/>
      </w:r>
      <w:r>
        <w:t xml:space="preserve">Non-harmonic frequencies: choose the angular steps </w:t>
      </w:r>
      <m:oMath>
        <m:r>
          <m:rPr>
            <m:sty m:val="p"/>
          </m:rPr>
          <w:rPr>
            <w:rFonts w:ascii="Cambria Math" w:hAnsi="Cambria Math"/>
            <w:lang w:val="en-US"/>
          </w:rPr>
          <m:t>Δ</m:t>
        </m:r>
        <m:r>
          <m:rPr/>
          <w:rPr>
            <w:rFonts w:ascii="Cambria Math" w:hAnsi="Cambria Math"/>
            <w:lang w:val="en-US"/>
          </w:rPr>
          <m:t>ϕ</m:t>
        </m:r>
      </m:oMath>
      <w:r>
        <w:rPr>
          <w:lang w:val="en-US"/>
        </w:rPr>
        <w:t xml:space="preserve"> and </w:t>
      </w:r>
      <m:oMath>
        <m:r>
          <m:rPr>
            <m:sty m:val="p"/>
          </m:rPr>
          <w:rPr>
            <w:rFonts w:ascii="Cambria Math" w:hAnsi="Cambria Math"/>
            <w:lang w:val="en-US"/>
          </w:rPr>
          <m:t>Δ</m:t>
        </m:r>
        <m:r>
          <m:rPr/>
          <w:rPr>
            <w:rFonts w:ascii="Cambria Math" w:hAnsi="Cambria Math"/>
            <w:lang w:val="en-US"/>
          </w:rPr>
          <m:t>θ</m:t>
        </m:r>
      </m:oMath>
      <w:r>
        <w:t xml:space="preserve"> smaller than or equal to 15 degrees. Calculate the sparsity factor (SF) as</w:t>
      </w:r>
    </w:p>
    <w:p w14:paraId="63B4D0A4">
      <w:pPr>
        <w:pStyle w:val="47"/>
        <w:rPr>
          <w:lang w:val="en-US"/>
        </w:rPr>
      </w:pPr>
      <w:r>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ctrlPr>
              <w:rPr>
                <w:rFonts w:ascii="Cambria Math" w:hAnsi="Cambria Math"/>
                <w:lang w:val="en-US"/>
              </w:rPr>
            </m:ctrlP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m:rPr/>
                      <w:rPr>
                        <w:rFonts w:ascii="Cambria Math" w:hAnsi="Cambria Math"/>
                        <w:lang w:val="en-US"/>
                      </w:rPr>
                      <m:t>ϕ</m:t>
                    </m:r>
                    <m:ctrlPr>
                      <w:rPr>
                        <w:rFonts w:ascii="Cambria Math" w:hAnsi="Cambria Math"/>
                        <w:lang w:val="en-US"/>
                      </w:rPr>
                    </m:ctrlPr>
                  </m:num>
                  <m:den>
                    <m:r>
                      <m:rPr>
                        <m:sty m:val="p"/>
                      </m:rPr>
                      <w:rPr>
                        <w:rFonts w:ascii="Cambria Math" w:hAnsi="Cambria Math"/>
                      </w:rPr>
                      <m:t>Δ</m:t>
                    </m:r>
                    <m:sSub>
                      <m:sSubPr>
                        <m:ctrlPr>
                          <w:rPr>
                            <w:rFonts w:ascii="Cambria Math" w:hAnsi="Cambria Math"/>
                          </w:rPr>
                        </m:ctrlPr>
                      </m:sSubPr>
                      <m:e>
                        <m:r>
                          <m:rPr/>
                          <w:rPr>
                            <w:rFonts w:ascii="Cambria Math" w:hAnsi="Cambria Math"/>
                          </w:rPr>
                          <m:t>ϕ</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lang w:val="en-US"/>
                      </w:rPr>
                    </m:ctrlPr>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m:rPr/>
                      <w:rPr>
                        <w:rFonts w:ascii="Cambria Math" w:hAnsi="Cambria Math"/>
                        <w:lang w:val="en-US"/>
                      </w:rPr>
                      <m:t>θ</m:t>
                    </m:r>
                    <m:ctrlPr>
                      <w:rPr>
                        <w:rFonts w:ascii="Cambria Math" w:hAnsi="Cambria Math"/>
                        <w:lang w:val="en-US"/>
                      </w:rPr>
                    </m:ctrlPr>
                  </m:num>
                  <m:den>
                    <m:r>
                      <m:rPr>
                        <m:sty m:val="p"/>
                      </m:rPr>
                      <w:rPr>
                        <w:rFonts w:ascii="Cambria Math" w:hAnsi="Cambria Math"/>
                      </w:rPr>
                      <m:t>Δ</m:t>
                    </m:r>
                    <m:sSub>
                      <m:sSubPr>
                        <m:ctrlPr>
                          <w:rPr>
                            <w:rFonts w:ascii="Cambria Math" w:hAnsi="Cambria Math"/>
                          </w:rPr>
                        </m:ctrlPr>
                      </m:sSubPr>
                      <m:e>
                        <m:r>
                          <m:rPr/>
                          <w:rPr>
                            <w:rFonts w:ascii="Cambria Math" w:hAnsi="Cambria Math"/>
                          </w:rPr>
                          <m:t>θ</m:t>
                        </m:r>
                        <m:ctrlPr>
                          <w:rPr>
                            <w:rFonts w:ascii="Cambria Math" w:hAnsi="Cambria Math"/>
                          </w:rPr>
                        </m:ctrlPr>
                      </m:e>
                      <m:sub>
                        <m:r>
                          <m:rPr>
                            <m:sty m:val="p"/>
                          </m:rPr>
                          <w:rPr>
                            <w:rFonts w:ascii="Cambria Math" w:hAnsi="Cambria Math"/>
                          </w:rPr>
                          <m:t>ref</m:t>
                        </m:r>
                        <m:ctrlPr>
                          <w:rPr>
                            <w:rFonts w:ascii="Cambria Math" w:hAnsi="Cambria Math"/>
                          </w:rPr>
                        </m:ctrlPr>
                      </m:sub>
                    </m:sSub>
                    <m:ctrlPr>
                      <w:rPr>
                        <w:rFonts w:ascii="Cambria Math" w:hAnsi="Cambria Math"/>
                        <w:lang w:val="en-US"/>
                      </w:rPr>
                    </m:ctrlPr>
                  </m:den>
                </m:f>
                <m:ctrlPr>
                  <w:rPr>
                    <w:rFonts w:ascii="Cambria Math" w:hAnsi="Cambria Math"/>
                    <w:lang w:val="en-US"/>
                  </w:rPr>
                </m:ctrlPr>
              </m:e>
            </m:d>
            <m:ctrlPr>
              <w:rPr>
                <w:rFonts w:ascii="Cambria Math" w:hAnsi="Cambria Math"/>
                <w:lang w:val="en-US"/>
              </w:rPr>
            </m:ctrlPr>
          </m:e>
        </m:func>
      </m:oMath>
    </w:p>
    <w:p w14:paraId="32EC234C">
      <w:pPr>
        <w:pStyle w:val="115"/>
      </w:pPr>
      <w:r>
        <w:t>and the correction factor as:</w:t>
      </w:r>
    </w:p>
    <w:p w14:paraId="2812E71D">
      <w:pPr>
        <w:pStyle w:val="47"/>
        <w:rPr>
          <w:iCs/>
        </w:rPr>
      </w:pPr>
      <w:r>
        <w:tab/>
      </w:r>
      <m:oMath>
        <m:r>
          <m:rPr>
            <m:sty m:val="p"/>
          </m:rPr>
          <w:rPr>
            <w:rFonts w:ascii="Cambria Math" w:hAnsi="Cambria Math"/>
          </w:rPr>
          <m:t>ΔTRP</m:t>
        </m:r>
        <m:r>
          <m:rPr/>
          <w:rPr>
            <w:rFonts w:ascii="Cambria Math" w:hAnsi="Cambria Math"/>
          </w:rPr>
          <m:t>=</m:t>
        </m:r>
        <m:f>
          <m:fPr>
            <m:ctrlPr>
              <w:rPr>
                <w:rFonts w:ascii="Cambria Math" w:hAnsi="Cambria Math"/>
                <w:iCs/>
              </w:rPr>
            </m:ctrlPr>
          </m:fPr>
          <m:num>
            <m:r>
              <m:rPr>
                <m:sty m:val="p"/>
              </m:rPr>
              <w:rPr>
                <w:rFonts w:ascii="Cambria Math" w:hAnsi="Cambria Math"/>
              </w:rPr>
              <m:t>SF−1</m:t>
            </m:r>
            <m:ctrlPr>
              <w:rPr>
                <w:rFonts w:ascii="Cambria Math" w:hAnsi="Cambria Math"/>
                <w:iCs/>
              </w:rPr>
            </m:ctrlP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r>
              <m:rPr>
                <m:sty m:val="p"/>
              </m:rPr>
              <w:rPr>
                <w:rFonts w:ascii="Cambria Math" w:hAnsi="Cambria Math"/>
              </w:rPr>
              <m:t>−1</m:t>
            </m:r>
            <m:ctrlPr>
              <w:rPr>
                <w:rFonts w:ascii="Cambria Math" w:hAnsi="Cambria Math"/>
                <w:iCs/>
              </w:rPr>
            </m:ctrlPr>
          </m:den>
        </m:f>
        <m:r>
          <m:rPr>
            <m:sty m:val="p"/>
          </m:rPr>
          <w:rPr>
            <w:rFonts w:ascii="Cambria Math" w:hAnsi="Cambria Math"/>
          </w:rPr>
          <m:t>⋅1.0 dB,</m:t>
        </m:r>
      </m:oMath>
    </w:p>
    <w:p w14:paraId="7E2A1BDC">
      <w:pPr>
        <w:pStyle w:val="114"/>
        <w:rPr>
          <w:lang w:val="en-US"/>
        </w:rPr>
      </w:pPr>
      <w:r>
        <w:tab/>
      </w:r>
      <w:r>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ctrlPr>
              <w:rPr>
                <w:rFonts w:ascii="Cambria Math" w:hAnsi="Cambria Math"/>
                <w:iCs/>
              </w:rPr>
            </m:ctrlPr>
          </m:e>
          <m:sub>
            <m:r>
              <m:rPr>
                <m:sty m:val="p"/>
              </m:rPr>
              <w:rPr>
                <w:rFonts w:ascii="Cambria Math" w:hAnsi="Cambria Math"/>
              </w:rPr>
              <m:t>max</m:t>
            </m:r>
            <m:ctrlPr>
              <w:rPr>
                <w:rFonts w:ascii="Cambria Math" w:hAnsi="Cambria Math"/>
                <w:iCs/>
              </w:rPr>
            </m:ctrlPr>
          </m:sub>
        </m:sSub>
      </m:oMath>
      <w:r>
        <w:rPr>
          <w:lang w:val="en-US"/>
        </w:rPr>
        <w:t xml:space="preserve"> </w:t>
      </w:r>
      <w:r>
        <w:rPr>
          <w:iCs/>
        </w:rPr>
        <w:t xml:space="preserve">corresponds to 15 degrees angular step. </w:t>
      </w:r>
      <w:r>
        <w:rPr>
          <w:lang w:val="en-US"/>
        </w:rPr>
        <w:t xml:space="preserve">If the sparsity factor is smaller than 1, the correction factor </w:t>
      </w:r>
      <w:r>
        <w:t>ΔTRP</w:t>
      </w:r>
      <w:r>
        <w:rPr>
          <w:lang w:val="en-US"/>
        </w:rPr>
        <w:t xml:space="preserve"> is 0 dB.</w:t>
      </w:r>
    </w:p>
    <w:p w14:paraId="629D39B7">
      <w:pPr>
        <w:pStyle w:val="114"/>
        <w:rPr>
          <w:lang w:val="en-US"/>
        </w:rPr>
      </w:pPr>
      <w:r>
        <w:tab/>
      </w:r>
      <w:r>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m:rPr/>
              <w:rPr>
                <w:rFonts w:ascii="Cambria Math" w:hAnsi="Cambria Math"/>
                <w:lang w:val="en-US"/>
              </w:rPr>
              <m:t>ϕ</m:t>
            </m:r>
            <m:ctrlPr>
              <w:rPr>
                <w:rFonts w:ascii="Cambria Math" w:hAnsi="Cambria Math"/>
                <w:i/>
                <w:lang w:val="en-US"/>
              </w:rPr>
            </m:ctrlPr>
          </m:e>
          <m:sub>
            <m:r>
              <m:rPr>
                <m:sty m:val="p"/>
              </m:rPr>
              <w:rPr>
                <w:rFonts w:ascii="Cambria Math" w:hAnsi="Cambria Math"/>
                <w:lang w:val="en-US"/>
              </w:rPr>
              <m:t>ref</m:t>
            </m:r>
            <m:ctrlPr>
              <w:rPr>
                <w:rFonts w:ascii="Cambria Math" w:hAnsi="Cambria Math"/>
                <w:i/>
                <w:lang w:val="en-US"/>
              </w:rPr>
            </m:ctrlPr>
          </m:sub>
        </m:sSub>
      </m:oMath>
      <w:r>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m:rPr/>
              <w:rPr>
                <w:rFonts w:ascii="Cambria Math" w:hAnsi="Cambria Math"/>
                <w:lang w:val="en-US"/>
              </w:rPr>
              <m:t>θ</m:t>
            </m:r>
            <m:ctrlPr>
              <w:rPr>
                <w:rFonts w:ascii="Cambria Math" w:hAnsi="Cambria Math"/>
                <w:i/>
                <w:lang w:val="en-US"/>
              </w:rPr>
            </m:ctrlPr>
          </m:e>
          <m:sub>
            <m:r>
              <m:rPr>
                <m:sty m:val="p"/>
              </m:rPr>
              <w:rPr>
                <w:rFonts w:ascii="Cambria Math" w:hAnsi="Cambria Math"/>
                <w:lang w:val="en-US"/>
              </w:rPr>
              <m:t>ref</m:t>
            </m:r>
            <m:ctrlPr>
              <w:rPr>
                <w:rFonts w:ascii="Cambria Math" w:hAnsi="Cambria Math"/>
                <w:i/>
                <w:lang w:val="en-US"/>
              </w:rPr>
            </m:ctrlPr>
          </m:sub>
        </m:sSub>
      </m:oMath>
      <w:r>
        <w:t>. Correction factor ΔTRP is 0 dB.</w:t>
      </w:r>
    </w:p>
    <w:p w14:paraId="76F295E9">
      <w:pPr>
        <w:pStyle w:val="114"/>
        <w:rPr>
          <w:lang w:val="en-US"/>
        </w:rPr>
      </w:pPr>
      <w:bookmarkStart w:id="365" w:name="_Toc21103130"/>
      <w:r>
        <w:tab/>
      </w:r>
      <w:r>
        <w:t>Harmonic frequencies with beam sweeping test signal: set the angular steps to 15 degrees. Correction factor is ΔTRP 0 dB.</w:t>
      </w:r>
    </w:p>
    <w:p w14:paraId="536E08EC">
      <w:pPr>
        <w:pStyle w:val="54"/>
      </w:pPr>
      <w:r>
        <w:t>2)</w:t>
      </w:r>
      <w:r>
        <w:tab/>
      </w:r>
      <w:r>
        <w:t>Apply a suitable numerical integration to calculate the preliminary TRP</w:t>
      </w:r>
      <w:r>
        <w:rPr>
          <w:vertAlign w:val="subscript"/>
        </w:rPr>
        <w:t>Estimate</w:t>
      </w:r>
      <w:r>
        <w:t>.</w:t>
      </w:r>
    </w:p>
    <w:p w14:paraId="3F593A8C">
      <w:pPr>
        <w:pStyle w:val="54"/>
      </w:pPr>
      <w:r>
        <w:t>3)</w:t>
      </w:r>
      <w:r>
        <w:tab/>
      </w:r>
      <w:r>
        <w:t>Add the appropriate correction factor ΔTRP according to step 1 to ensure an overestimation with 95 % confidence.</w:t>
      </w:r>
    </w:p>
    <w:p w14:paraId="5D27ED84">
      <w:pPr>
        <w:pStyle w:val="54"/>
      </w:pPr>
      <w:r>
        <w:t>4)</w:t>
      </w:r>
      <w:r>
        <w:tab/>
      </w:r>
      <w:r>
        <w:t>Compare the corrected TRP</w:t>
      </w:r>
      <w:r>
        <w:rPr>
          <w:vertAlign w:val="subscript"/>
        </w:rPr>
        <w:t>Estimate</w:t>
      </w:r>
      <w:r>
        <w:t xml:space="preserve"> (including ΔTRP) with the limit. If the corrected TRP</w:t>
      </w:r>
      <w:r>
        <w:rPr>
          <w:vertAlign w:val="subscript"/>
        </w:rPr>
        <w:t xml:space="preserve">Estimate </w:t>
      </w:r>
      <w:r>
        <w:t>is above the limit, choose a smaller angular step and repeat steps 2-4. If the sparsity factor is less than one, no significant improvement of accuracy is expected.</w:t>
      </w:r>
    </w:p>
    <w:p w14:paraId="5FCFC6EE">
      <w:pPr>
        <w:pStyle w:val="2"/>
      </w:pPr>
      <w:bookmarkStart w:id="366" w:name="_Toc122000060"/>
      <w:bookmarkStart w:id="367" w:name="_Toc176949641"/>
      <w:bookmarkStart w:id="368" w:name="_Toc89953135"/>
      <w:bookmarkStart w:id="369" w:name="_Toc53183421"/>
      <w:bookmarkStart w:id="370" w:name="_Toc74916209"/>
      <w:bookmarkStart w:id="371" w:name="_Toc45886376"/>
      <w:bookmarkStart w:id="372" w:name="_Toc36636340"/>
      <w:bookmarkStart w:id="373" w:name="_Toc187258448"/>
      <w:bookmarkStart w:id="374" w:name="_Toc58916133"/>
      <w:bookmarkStart w:id="375" w:name="_Toc98766952"/>
      <w:bookmarkStart w:id="376" w:name="_Toc137396884"/>
      <w:bookmarkStart w:id="377" w:name="_Toc82536842"/>
      <w:bookmarkStart w:id="378" w:name="_Toc37273286"/>
      <w:bookmarkStart w:id="379" w:name="_Toc106207107"/>
      <w:bookmarkStart w:id="380" w:name="_Toc124154959"/>
      <w:bookmarkStart w:id="381" w:name="_Toc76114834"/>
      <w:bookmarkStart w:id="382" w:name="_Toc66694184"/>
      <w:bookmarkStart w:id="383" w:name="_Toc156578327"/>
      <w:bookmarkStart w:id="384" w:name="_Toc58918314"/>
      <w:bookmarkStart w:id="385" w:name="_Toc115081109"/>
      <w:bookmarkStart w:id="386" w:name="_Toc29810979"/>
      <w:bookmarkStart w:id="387" w:name="_Toc76544720"/>
      <w:bookmarkStart w:id="388" w:name="_Toc99703315"/>
      <w:r>
        <w:t>I.10</w:t>
      </w:r>
      <w:r>
        <w:tab/>
      </w:r>
      <w:r>
        <w:t>Beam-based directions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410F7A78">
      <w:r>
        <w:t xml:space="preserve">Beam-based direction can be used in the base station </w:t>
      </w:r>
      <w:r>
        <w:rPr>
          <w:i/>
        </w:rPr>
        <w:t>operating band</w:t>
      </w:r>
      <w:r>
        <w:t xml:space="preserve"> only if the directivity of the radiation pattern of the emssions being measured is known. TRP</w:t>
      </w:r>
      <w:r>
        <w:rPr>
          <w:vertAlign w:val="subscript"/>
        </w:rPr>
        <w:t>Estimate</w:t>
      </w:r>
      <w:r>
        <w:t xml:space="preserve"> is defined as</w:t>
      </w:r>
    </w:p>
    <w:p w14:paraId="09DA178D">
      <w:pPr>
        <w:pStyle w:val="54"/>
      </w:pPr>
      <m:oMath>
        <m:sSub>
          <m:sSubPr>
            <m:ctrlPr>
              <w:rPr>
                <w:rFonts w:ascii="Cambria Math" w:hAnsi="Cambria Math"/>
              </w:rPr>
            </m:ctrlPr>
          </m:sSubPr>
          <m:e>
            <m:r>
              <m:rPr/>
              <w:rPr>
                <w:rFonts w:ascii="Cambria Math" w:hAnsi="Cambria Math"/>
              </w:rPr>
              <m:t>TRP</m:t>
            </m:r>
            <m:ctrlPr>
              <w:rPr>
                <w:rFonts w:ascii="Cambria Math" w:hAnsi="Cambria Math"/>
              </w:rPr>
            </m:ctrlPr>
          </m:e>
          <m:sub>
            <m:r>
              <m:rPr/>
              <w:rPr>
                <w:rFonts w:ascii="Cambria Math" w:hAnsi="Cambria Math"/>
              </w:rPr>
              <m:t>Estimate</m:t>
            </m:r>
            <m:ctrlPr>
              <w:rPr>
                <w:rFonts w:ascii="Cambria Math" w:hAnsi="Cambria Math"/>
              </w:rPr>
            </m:ctrlP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ctrlPr>
              <w:rPr>
                <w:rFonts w:ascii="Cambria Math" w:hAnsi="Cambria Math"/>
              </w:rPr>
            </m:ctrlPr>
          </m:den>
        </m:f>
      </m:oMath>
      <w:r>
        <w:t xml:space="preserve">, where </w:t>
      </w:r>
      <m:oMath>
        <m:sSub>
          <m:sSubPr>
            <m:ctrlPr>
              <w:rPr>
                <w:rFonts w:ascii="Cambria Math" w:hAnsi="Cambria Math"/>
              </w:rPr>
            </m:ctrlPr>
          </m:sSubPr>
          <m:e>
            <m:r>
              <m:rPr/>
              <w:rPr>
                <w:rFonts w:ascii="Cambria Math" w:hAnsi="Cambria Math"/>
              </w:rPr>
              <m:t>EIRP</m:t>
            </m:r>
            <m:ctrlPr>
              <w:rPr>
                <w:rFonts w:ascii="Cambria Math" w:hAnsi="Cambria Math"/>
              </w:rPr>
            </m:ctrlPr>
          </m:e>
          <m:sub>
            <m:r>
              <m:rPr/>
              <w:rPr>
                <w:rFonts w:ascii="Cambria Math" w:hAnsi="Cambria Math"/>
              </w:rPr>
              <m:t>peak</m:t>
            </m:r>
            <m:ctrlPr>
              <w:rPr>
                <w:rFonts w:ascii="Cambria Math" w:hAnsi="Cambria Math"/>
              </w:rPr>
            </m:ctrlPr>
          </m:sub>
        </m:sSub>
      </m:oMath>
      <w:r>
        <w:t xml:space="preserve"> is the maximum EIRP in the beam peak direction within a particular beam direction pair and </w:t>
      </w:r>
      <m:oMath>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EUT</m:t>
            </m:r>
            <m:ctrlPr>
              <w:rPr>
                <w:rFonts w:ascii="Cambria Math" w:hAnsi="Cambria Math"/>
              </w:rPr>
            </m:ctrlPr>
          </m:sub>
        </m:sSub>
      </m:oMath>
      <w:r>
        <w:t xml:space="preserve"> is the directivity of the EUT.</w:t>
      </w:r>
    </w:p>
    <w:p w14:paraId="569661C9">
      <w:pPr>
        <w:pStyle w:val="2"/>
      </w:pPr>
      <w:bookmarkStart w:id="389" w:name="_Toc82536843"/>
      <w:bookmarkStart w:id="390" w:name="_Toc36636341"/>
      <w:bookmarkStart w:id="391" w:name="_Toc99703316"/>
      <w:bookmarkStart w:id="392" w:name="_Toc176949642"/>
      <w:bookmarkStart w:id="393" w:name="_Toc156578328"/>
      <w:bookmarkStart w:id="394" w:name="_Toc124154960"/>
      <w:bookmarkStart w:id="395" w:name="_Toc58918315"/>
      <w:bookmarkStart w:id="396" w:name="_Toc45886377"/>
      <w:bookmarkStart w:id="397" w:name="_Toc115081110"/>
      <w:bookmarkStart w:id="398" w:name="_Toc53183422"/>
      <w:bookmarkStart w:id="399" w:name="_Toc21103131"/>
      <w:bookmarkStart w:id="400" w:name="_Toc187258449"/>
      <w:bookmarkStart w:id="401" w:name="_Toc106207108"/>
      <w:bookmarkStart w:id="402" w:name="_Toc58916134"/>
      <w:bookmarkStart w:id="403" w:name="_Toc76544721"/>
      <w:bookmarkStart w:id="404" w:name="_Toc98766953"/>
      <w:bookmarkStart w:id="405" w:name="_Toc76114835"/>
      <w:bookmarkStart w:id="406" w:name="_Toc29810980"/>
      <w:bookmarkStart w:id="407" w:name="_Toc137396885"/>
      <w:bookmarkStart w:id="408" w:name="_Toc122000061"/>
      <w:bookmarkStart w:id="409" w:name="_Toc74916210"/>
      <w:bookmarkStart w:id="410" w:name="_Toc66694185"/>
      <w:bookmarkStart w:id="411" w:name="_Toc89953136"/>
      <w:bookmarkStart w:id="412" w:name="_Toc37273287"/>
      <w:r>
        <w:t>I.11</w:t>
      </w:r>
      <w:r>
        <w:tab/>
      </w:r>
      <w:r>
        <w:t>Peak method</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6232533B">
      <w:r>
        <w:t>The peak method can be used when frequencies with unwanted peak emissions are identified during pre-scan. The method does not provide an estimate of TRP.</w:t>
      </w:r>
    </w:p>
    <w:p w14:paraId="3FAFD7E6">
      <w:r>
        <w:t>For each peak emission frequency identified during pre-scan, measure peak EIRP or power density as follows:</w:t>
      </w:r>
    </w:p>
    <w:p w14:paraId="57FA67BF">
      <w:pPr>
        <w:pStyle w:val="54"/>
        <w:rPr>
          <w:lang w:val="en-US"/>
        </w:rPr>
      </w:pPr>
      <w:r>
        <w:rPr>
          <w:lang w:val="en-US"/>
        </w:rPr>
        <w:t>1)</w:t>
      </w:r>
      <w:r>
        <w:rPr>
          <w:lang w:val="en-US"/>
        </w:rPr>
        <w:tab/>
      </w:r>
      <w:r>
        <w:rPr>
          <w:lang w:val="en-US"/>
        </w:rPr>
        <w:t>Move EUT and test antenna to the same position where the peak emission is recorded during the pre-scan.</w:t>
      </w:r>
    </w:p>
    <w:p w14:paraId="3C6AF862">
      <w:pPr>
        <w:pStyle w:val="54"/>
      </w:pPr>
      <w:r>
        <w:rPr>
          <w:lang w:val="en-US"/>
        </w:rPr>
        <w:t>2)</w:t>
      </w:r>
      <w:r>
        <w:rPr>
          <w:lang w:val="en-US"/>
        </w:rPr>
        <w:tab/>
      </w:r>
      <w:r>
        <w:rPr>
          <w:lang w:val="en-US"/>
        </w:rPr>
        <w:t>Move the EUT around the position and test antenna orientation to find the final peak EIRP or power density.</w:t>
      </w:r>
    </w:p>
    <w:p w14:paraId="6EC793F3">
      <w:pPr>
        <w:pStyle w:val="54"/>
      </w:pPr>
      <w:r>
        <w:rPr>
          <w:lang w:val="en-US"/>
        </w:rPr>
        <w:t>3)</w:t>
      </w:r>
      <w:r>
        <w:rPr>
          <w:lang w:val="en-US"/>
        </w:rPr>
        <w:tab/>
      </w:r>
      <w:r>
        <w:rPr>
          <w:lang w:val="en-US"/>
        </w:rPr>
        <w:t>The measured peak power density or EIRP shall be used to demonstrate conformance.</w:t>
      </w:r>
    </w:p>
    <w:p w14:paraId="7983D500">
      <w:pPr>
        <w:pStyle w:val="45"/>
      </w:pPr>
      <w:r>
        <w:t>NOTE:</w:t>
      </w:r>
      <w:r>
        <w:tab/>
      </w:r>
      <w:r>
        <w:t>Peak EIRP is the linear sum of two orthogonal polarized components.</w:t>
      </w:r>
    </w:p>
    <w:p w14:paraId="518F476D">
      <w:pPr>
        <w:pStyle w:val="2"/>
      </w:pPr>
      <w:bookmarkStart w:id="413" w:name="_Toc37273288"/>
      <w:bookmarkStart w:id="414" w:name="_Toc124154961"/>
      <w:bookmarkStart w:id="415" w:name="_Toc58916135"/>
      <w:bookmarkStart w:id="416" w:name="_Toc156578329"/>
      <w:bookmarkStart w:id="417" w:name="_Toc115081111"/>
      <w:bookmarkStart w:id="418" w:name="_Toc76544722"/>
      <w:bookmarkStart w:id="419" w:name="_Toc36636342"/>
      <w:bookmarkStart w:id="420" w:name="_Toc53183423"/>
      <w:bookmarkStart w:id="421" w:name="_Toc137396886"/>
      <w:bookmarkStart w:id="422" w:name="_Toc58918316"/>
      <w:bookmarkStart w:id="423" w:name="_Toc187258450"/>
      <w:bookmarkStart w:id="424" w:name="_Toc21103132"/>
      <w:bookmarkStart w:id="425" w:name="_Toc66694186"/>
      <w:bookmarkStart w:id="426" w:name="_Toc76114836"/>
      <w:bookmarkStart w:id="427" w:name="_Toc98766954"/>
      <w:bookmarkStart w:id="428" w:name="_Toc89953137"/>
      <w:bookmarkStart w:id="429" w:name="_Toc82536844"/>
      <w:bookmarkStart w:id="430" w:name="_Toc106207109"/>
      <w:bookmarkStart w:id="431" w:name="_Toc74916211"/>
      <w:bookmarkStart w:id="432" w:name="_Toc99703317"/>
      <w:bookmarkStart w:id="433" w:name="_Toc45886378"/>
      <w:bookmarkStart w:id="434" w:name="_Toc29810981"/>
      <w:bookmarkStart w:id="435" w:name="_Toc176949643"/>
      <w:bookmarkStart w:id="436" w:name="_Toc122000062"/>
      <w:r>
        <w:t>I.12</w:t>
      </w:r>
      <w:r>
        <w:tab/>
      </w:r>
      <w:r>
        <w:t>Equal sector with peak average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0B40621">
      <w:r>
        <w:t>Equal sector with peak average can be performed on frequencies with unwanted peak emission, which are considered by the peak method for further measurements.</w:t>
      </w:r>
    </w:p>
    <w:p w14:paraId="155BD830">
      <w:r>
        <w:rPr>
          <w:lang w:val="en-US"/>
        </w:rPr>
        <w:t xml:space="preserve">The spherical angle </w:t>
      </w:r>
      <m:oMath>
        <m:r>
          <m:rPr/>
          <w:rPr>
            <w:rFonts w:ascii="Cambria Math" w:hAnsi="Cambria Math"/>
            <w:lang w:val="en-US"/>
          </w:rPr>
          <m:t>ϕ</m:t>
        </m:r>
      </m:oMath>
      <w:r>
        <w:rPr>
          <w:lang w:val="en-US"/>
        </w:rPr>
        <w:t xml:space="preserve"> is divided into K equal sectors. If the largest dimension of EUT is less than 60 cm, then each sector is a half quadrant of 45°.</w:t>
      </w:r>
    </w:p>
    <w:p w14:paraId="7F8165C1">
      <w:r>
        <w:t>For each peak emission frequency, measure peak EIRP of beams belonging to different sectors of the sphere as follows:</w:t>
      </w:r>
    </w:p>
    <w:p w14:paraId="22298AEC">
      <w:pPr>
        <w:pStyle w:val="54"/>
        <w:rPr>
          <w:lang w:val="en-US"/>
        </w:rPr>
      </w:pPr>
      <w:r>
        <w:rPr>
          <w:lang w:val="en-US"/>
        </w:rPr>
        <w:t>1)</w:t>
      </w:r>
      <w:r>
        <w:rPr>
          <w:lang w:val="en-US"/>
        </w:rPr>
        <w:tab/>
      </w:r>
      <w:r>
        <w:rPr>
          <w:lang w:val="en-US"/>
        </w:rPr>
        <w:t>Move EUT and test antenna to the same position where the emission peak is recorded during the pre-scan.</w:t>
      </w:r>
    </w:p>
    <w:p w14:paraId="2EC34DE3">
      <w:pPr>
        <w:pStyle w:val="54"/>
        <w:rPr>
          <w:lang w:val="en-US"/>
        </w:rPr>
      </w:pPr>
      <w:r>
        <w:rPr>
          <w:lang w:val="en-US"/>
        </w:rPr>
        <w:t>2)</w:t>
      </w:r>
      <w:r>
        <w:rPr>
          <w:lang w:val="en-US"/>
        </w:rPr>
        <w:tab/>
      </w:r>
      <w:r>
        <w:rPr>
          <w:lang w:val="en-US"/>
        </w:rPr>
        <w:t>Move EUT around the position and test antenna orientation to find the final peak EIRP.</w:t>
      </w:r>
    </w:p>
    <w:p w14:paraId="158FC240">
      <w:pPr>
        <w:pStyle w:val="54"/>
      </w:pPr>
      <w:r>
        <w:rPr>
          <w:lang w:val="en-US"/>
        </w:rPr>
        <w:t>3)</w:t>
      </w:r>
      <w:r>
        <w:rPr>
          <w:lang w:val="en-US"/>
        </w:rPr>
        <w:tab/>
      </w:r>
      <w:r>
        <w:rPr>
          <w:lang w:val="en-US"/>
        </w:rPr>
        <w:t>Repeat Steps 1 to 2 until all sectors are covered.</w:t>
      </w:r>
    </w:p>
    <w:p w14:paraId="471BE159">
      <w:pPr>
        <w:pStyle w:val="54"/>
      </w:pPr>
      <w:r>
        <w:rPr>
          <w:lang w:val="en-US"/>
        </w:rPr>
        <w:t>4)</w:t>
      </w:r>
      <w:r>
        <w:rPr>
          <w:lang w:val="en-US"/>
        </w:rPr>
        <w:tab/>
      </w:r>
      <w:r>
        <w:rPr>
          <w:lang w:val="en-US"/>
        </w:rPr>
        <w:t>Calculate TRP</w:t>
      </w:r>
      <w:r>
        <w:rPr>
          <w:vertAlign w:val="subscript"/>
          <w:lang w:val="en-US"/>
        </w:rPr>
        <w:t>Estimate</w:t>
      </w:r>
      <w:r>
        <w:rPr>
          <w:lang w:val="en-US"/>
        </w:rPr>
        <w:t xml:space="preserve"> as</w:t>
      </w:r>
    </w:p>
    <w:p w14:paraId="13A0F3D8">
      <w:pPr>
        <w:pStyle w:val="47"/>
        <w:rPr>
          <w:lang w:val="en-US"/>
        </w:rPr>
      </w:pPr>
      <w:r>
        <w:rPr>
          <w:lang w:val="en-US"/>
        </w:rPr>
        <w:tab/>
      </w:r>
      <m:oMath>
        <m:sSub>
          <m:sSubPr>
            <m:ctrlPr>
              <w:rPr>
                <w:rFonts w:ascii="Cambria Math" w:hAnsi="Cambria Math"/>
                <w:lang w:val="en-US"/>
              </w:rPr>
            </m:ctrlPr>
          </m:sSubPr>
          <m:e>
            <m:r>
              <m:rPr/>
              <w:rPr>
                <w:rFonts w:ascii="Cambria Math" w:hAnsi="Cambria Math"/>
                <w:lang w:val="en-US"/>
              </w:rPr>
              <m:t>TRP</m:t>
            </m:r>
            <m:ctrlPr>
              <w:rPr>
                <w:rFonts w:ascii="Cambria Math" w:hAnsi="Cambria Math"/>
                <w:lang w:val="en-US"/>
              </w:rPr>
            </m:ctrlPr>
          </m:e>
          <m:sub>
            <m:r>
              <m:rPr/>
              <w:rPr>
                <w:rFonts w:ascii="Cambria Math" w:hAnsi="Cambria Math"/>
                <w:lang w:val="en-US"/>
              </w:rPr>
              <m:t>Estimate</m:t>
            </m:r>
            <m:ctrlPr>
              <w:rPr>
                <w:rFonts w:ascii="Cambria Math" w:hAnsi="Cambria Math"/>
                <w:lang w:val="en-US"/>
              </w:rPr>
            </m:ctrlP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ctrlPr>
              <w:rPr>
                <w:rFonts w:ascii="Cambria Math" w:hAnsi="Cambria Math"/>
                <w:lang w:val="en-US"/>
              </w:rPr>
            </m:ctrlPr>
          </m:num>
          <m:den>
            <m:r>
              <m:rPr/>
              <w:rPr>
                <w:rFonts w:ascii="Cambria Math" w:hAnsi="Cambria Math"/>
                <w:lang w:val="en-US"/>
              </w:rPr>
              <m:t>K</m:t>
            </m:r>
            <m:ctrlPr>
              <w:rPr>
                <w:rFonts w:ascii="Cambria Math" w:hAnsi="Cambria Math"/>
                <w:lang w:val="en-US"/>
              </w:rPr>
            </m:ctrlPr>
          </m:den>
        </m:f>
        <m:nary>
          <m:naryPr>
            <m:chr m:val="∑"/>
            <m:limLoc m:val="undOvr"/>
            <m:ctrlPr>
              <w:rPr>
                <w:rFonts w:ascii="Cambria Math" w:hAnsi="Cambria Math"/>
                <w:lang w:val="en-US"/>
              </w:rPr>
            </m:ctrlPr>
          </m:naryPr>
          <m:sub>
            <m:r>
              <m:rPr/>
              <w:rPr>
                <w:rFonts w:ascii="Cambria Math" w:hAnsi="Cambria Math"/>
                <w:lang w:val="en-US"/>
              </w:rPr>
              <m:t>k</m:t>
            </m:r>
            <m:r>
              <m:rPr>
                <m:sty m:val="p"/>
              </m:rPr>
              <w:rPr>
                <w:rFonts w:ascii="Cambria Math" w:hAnsi="Cambria Math"/>
                <w:lang w:val="en-US"/>
              </w:rPr>
              <m:t>=1</m:t>
            </m:r>
            <m:ctrlPr>
              <w:rPr>
                <w:rFonts w:ascii="Cambria Math" w:hAnsi="Cambria Math"/>
                <w:lang w:val="en-US"/>
              </w:rPr>
            </m:ctrlPr>
          </m:sub>
          <m:sup>
            <m:r>
              <m:rPr/>
              <w:rPr>
                <w:rFonts w:ascii="Cambria Math" w:hAnsi="Cambria Math"/>
                <w:lang w:val="en-US"/>
              </w:rPr>
              <m:t>K</m:t>
            </m:r>
            <m:ctrlPr>
              <w:rPr>
                <w:rFonts w:ascii="Cambria Math" w:hAnsi="Cambria Math"/>
                <w:lang w:val="en-US"/>
              </w:rPr>
            </m:ctrlPr>
          </m:sup>
          <m:e>
            <m:sSub>
              <m:sSubPr>
                <m:ctrlPr>
                  <w:rPr>
                    <w:rFonts w:ascii="Cambria Math" w:hAnsi="Cambria Math"/>
                    <w:lang w:val="en-US"/>
                  </w:rPr>
                </m:ctrlPr>
              </m:sSubPr>
              <m:e>
                <m:r>
                  <m:rPr/>
                  <w:rPr>
                    <w:rFonts w:ascii="Cambria Math" w:hAnsi="Cambria Math"/>
                    <w:lang w:val="en-US"/>
                  </w:rPr>
                  <m:t>EIRP</m:t>
                </m:r>
                <m:ctrlPr>
                  <w:rPr>
                    <w:rFonts w:ascii="Cambria Math" w:hAnsi="Cambria Math"/>
                    <w:lang w:val="en-US"/>
                  </w:rPr>
                </m:ctrlPr>
              </m:e>
              <m:sub>
                <m:r>
                  <m:rPr/>
                  <w:rPr>
                    <w:rFonts w:ascii="Cambria Math" w:hAnsi="Cambria Math"/>
                    <w:lang w:val="en-US"/>
                  </w:rPr>
                  <m:t>k</m:t>
                </m:r>
                <m:ctrlPr>
                  <w:rPr>
                    <w:rFonts w:ascii="Cambria Math" w:hAnsi="Cambria Math"/>
                    <w:lang w:val="en-US"/>
                  </w:rPr>
                </m:ctrlPr>
              </m:sub>
            </m:sSub>
            <m:ctrlPr>
              <w:rPr>
                <w:rFonts w:ascii="Cambria Math" w:hAnsi="Cambria Math"/>
                <w:lang w:val="en-US"/>
              </w:rPr>
            </m:ctrlPr>
          </m:e>
        </m:nary>
      </m:oMath>
      <w:r>
        <w:rPr>
          <w:lang w:val="en-US"/>
        </w:rPr>
        <w:t xml:space="preserve">, where </w:t>
      </w:r>
      <m:oMath>
        <m:sSub>
          <m:sSubPr>
            <m:ctrlPr>
              <w:rPr>
                <w:rFonts w:ascii="Cambria Math" w:hAnsi="Cambria Math"/>
                <w:lang w:val="en-US"/>
              </w:rPr>
            </m:ctrlPr>
          </m:sSubPr>
          <m:e>
            <m:r>
              <m:rPr/>
              <w:rPr>
                <w:rFonts w:ascii="Cambria Math" w:hAnsi="Cambria Math"/>
                <w:lang w:val="en-US"/>
              </w:rPr>
              <m:t>EIRP</m:t>
            </m:r>
            <m:ctrlPr>
              <w:rPr>
                <w:rFonts w:ascii="Cambria Math" w:hAnsi="Cambria Math"/>
                <w:lang w:val="en-US"/>
              </w:rPr>
            </m:ctrlPr>
          </m:e>
          <m:sub>
            <m:r>
              <m:rPr/>
              <w:rPr>
                <w:rFonts w:ascii="Cambria Math" w:hAnsi="Cambria Math"/>
                <w:lang w:val="en-US"/>
              </w:rPr>
              <m:t>k</m:t>
            </m:r>
            <m:ctrlPr>
              <w:rPr>
                <w:rFonts w:ascii="Cambria Math" w:hAnsi="Cambria Math"/>
                <w:lang w:val="en-US"/>
              </w:rPr>
            </m:ctrlPr>
          </m:sub>
        </m:sSub>
      </m:oMath>
      <w:r>
        <w:rPr>
          <w:lang w:val="en-US"/>
        </w:rPr>
        <w:t xml:space="preserve"> is the peak EIRP in the kth sector.</w:t>
      </w:r>
    </w:p>
    <w:p w14:paraId="32803590">
      <w:pPr>
        <w:pStyle w:val="45"/>
        <w:rPr>
          <w:lang w:val="en-US"/>
        </w:rPr>
      </w:pPr>
      <w:r>
        <w:rPr>
          <w:lang w:val="en-US"/>
        </w:rPr>
        <w:t>NOTE:</w:t>
      </w:r>
      <w:r>
        <w:rPr>
          <w:lang w:val="en-US"/>
        </w:rPr>
        <w:tab/>
      </w:r>
      <w:r>
        <w:rPr>
          <w:lang w:val="en-US"/>
        </w:rPr>
        <w:t>Peak EIRP is the linear sum of two orthogonal polarized components.</w:t>
      </w:r>
    </w:p>
    <w:p w14:paraId="7B93A4E2">
      <w:pPr>
        <w:pStyle w:val="2"/>
      </w:pPr>
      <w:bookmarkStart w:id="437" w:name="_Toc29810982"/>
      <w:bookmarkStart w:id="438" w:name="_Toc115081112"/>
      <w:bookmarkStart w:id="439" w:name="_Toc137396887"/>
      <w:bookmarkStart w:id="440" w:name="_Toc58918317"/>
      <w:bookmarkStart w:id="441" w:name="_Toc45886379"/>
      <w:bookmarkStart w:id="442" w:name="_Toc176949644"/>
      <w:bookmarkStart w:id="443" w:name="_Toc53183424"/>
      <w:bookmarkStart w:id="444" w:name="_Toc99703318"/>
      <w:bookmarkStart w:id="445" w:name="_Toc36636343"/>
      <w:bookmarkStart w:id="446" w:name="_Toc106207110"/>
      <w:bookmarkStart w:id="447" w:name="_Toc66694187"/>
      <w:bookmarkStart w:id="448" w:name="_Toc82536845"/>
      <w:bookmarkStart w:id="449" w:name="_Toc74916212"/>
      <w:bookmarkStart w:id="450" w:name="_Toc89953138"/>
      <w:bookmarkStart w:id="451" w:name="_Toc122000063"/>
      <w:bookmarkStart w:id="452" w:name="_Toc156578330"/>
      <w:bookmarkStart w:id="453" w:name="_Toc21103133"/>
      <w:bookmarkStart w:id="454" w:name="_Toc76544723"/>
      <w:bookmarkStart w:id="455" w:name="_Toc76114837"/>
      <w:bookmarkStart w:id="456" w:name="_Toc37273289"/>
      <w:bookmarkStart w:id="457" w:name="_Toc58916136"/>
      <w:bookmarkStart w:id="458" w:name="_Toc124154962"/>
      <w:bookmarkStart w:id="459" w:name="_Toc187258451"/>
      <w:bookmarkStart w:id="460" w:name="_Toc98766955"/>
      <w:r>
        <w:t>I.13</w:t>
      </w:r>
      <w:r>
        <w:tab/>
      </w:r>
      <w:r>
        <w:t>Pre-scan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A296E8E">
      <w:r>
        <w:t>Pre-scan is used to identify frequencies with unwanted emission power levels above a certain threshold. The pre-scan does not provide an estimate of TRP. An emission frequency identified by a pre-scan may be further investigated by any of the TRP measurement methods in this annex.</w:t>
      </w:r>
    </w:p>
    <w:p w14:paraId="5283328C">
      <w:r>
        <w:t>The procedure for pre-scan is as follows:</w:t>
      </w:r>
    </w:p>
    <w:p w14:paraId="0E371375">
      <w:pPr>
        <w:pStyle w:val="54"/>
      </w:pPr>
      <w:r>
        <w:rPr>
          <w:lang w:val="en-US"/>
        </w:rPr>
        <w:t>1)</w:t>
      </w:r>
      <w:r>
        <w:rPr>
          <w:lang w:val="en-US"/>
        </w:rPr>
        <w:tab/>
      </w:r>
      <w:r>
        <w:rPr>
          <w:lang w:val="en-US"/>
        </w:rPr>
        <w:t>Scan the entire surface around EUT.</w:t>
      </w:r>
    </w:p>
    <w:p w14:paraId="71F226E0">
      <w:pPr>
        <w:pStyle w:val="54"/>
      </w:pPr>
      <w:r>
        <w:rPr>
          <w:lang w:val="en-US"/>
        </w:rPr>
        <w:t>2)</w:t>
      </w:r>
      <w:r>
        <w:rPr>
          <w:lang w:val="en-US"/>
        </w:rPr>
        <w:tab/>
      </w:r>
      <w:r>
        <w:rPr>
          <w:lang w:val="en-US"/>
        </w:rPr>
        <w:t>Rotate test antenna to cover all possible polarizations of emissions to detect maximum emissions.</w:t>
      </w:r>
    </w:p>
    <w:p w14:paraId="71CA4221">
      <w:pPr>
        <w:pStyle w:val="54"/>
        <w:rPr>
          <w:lang w:val="en-US"/>
        </w:rPr>
      </w:pPr>
      <w:r>
        <w:rPr>
          <w:lang w:val="en-US"/>
        </w:rPr>
        <w:t>3)</w:t>
      </w:r>
      <w:r>
        <w:rPr>
          <w:lang w:val="en-US"/>
        </w:rPr>
        <w:tab/>
      </w:r>
      <w:r>
        <w:rPr>
          <w:lang w:val="en-US"/>
        </w:rPr>
        <w:t>Record the list of frequencies and corresponding unwanted emission power levels, EUT spatial positions, and test antenna polarization for which the maximum emission levels occur.</w:t>
      </w:r>
    </w:p>
    <w:p w14:paraId="7757D569">
      <w:pPr>
        <w:pStyle w:val="54"/>
        <w:rPr>
          <w:lang w:val="en-US"/>
        </w:rPr>
      </w:pPr>
      <w:r>
        <w:t>4)</w:t>
      </w:r>
      <w:r>
        <w:tab/>
      </w:r>
      <w:r>
        <w:t>Emissions which</w:t>
      </w:r>
      <w:r>
        <w:rPr>
          <w:lang w:val="en-US"/>
        </w:rPr>
        <w:t xml:space="preserve"> </w:t>
      </w:r>
      <w:r>
        <w:t xml:space="preserve">20 dB or more below </w:t>
      </w:r>
      <w:r>
        <w:rPr>
          <w:lang w:val="en-US"/>
        </w:rPr>
        <w:t>the specified limit</w:t>
      </w:r>
      <w:r>
        <w:t xml:space="preserve"> shall not require further measurements.</w:t>
      </w:r>
    </w:p>
    <w:p w14:paraId="4B995CAF">
      <w:pPr>
        <w:pStyle w:val="57"/>
        <w:numPr>
          <w:ilvl w:val="255"/>
          <w:numId w:val="0"/>
        </w:numPr>
        <w:rPr>
          <w:sz w:val="20"/>
          <w:szCs w:val="20"/>
        </w:rPr>
      </w:pPr>
    </w:p>
    <w:p w14:paraId="4939F7DE">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2F70E3BA"/>
    <w:multiLevelType w:val="singleLevel"/>
    <w:tmpl w:val="2F70E3BA"/>
    <w:lvl w:ilvl="0" w:tentative="0">
      <w:start w:val="1"/>
      <w:numFmt w:val="decimal"/>
      <w:suff w:val="space"/>
      <w:lvlText w:val="%1)"/>
      <w:lvlJc w:val="left"/>
    </w:lvl>
  </w:abstractNum>
  <w:abstractNum w:abstractNumId="3">
    <w:nsid w:val="39117761"/>
    <w:multiLevelType w:val="multilevel"/>
    <w:tmpl w:val="3911776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lowerLetter"/>
      <w:lvlText w:val="%3)"/>
      <w:lvlJc w:val="left"/>
      <w:pPr>
        <w:ind w:left="2376" w:hanging="360"/>
      </w:pPr>
      <w:rPr>
        <w:rFonts w:hint="default"/>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2C5C900"/>
    <w:multiLevelType w:val="singleLevel"/>
    <w:tmpl w:val="62C5C900"/>
    <w:lvl w:ilvl="0" w:tentative="0">
      <w:start w:val="1"/>
      <w:numFmt w:val="bullet"/>
      <w:lvlText w:val=""/>
      <w:lvlJc w:val="left"/>
      <w:pPr>
        <w:ind w:left="420" w:hanging="420"/>
      </w:pPr>
      <w:rPr>
        <w:rFonts w:hint="default" w:ascii="Wingdings" w:hAnsi="Wingdings"/>
      </w:rPr>
    </w:lvl>
  </w:abstractNum>
  <w:num w:numId="1">
    <w:abstractNumId w:val="6"/>
  </w:num>
  <w:num w:numId="2">
    <w:abstractNumId w:val="1"/>
  </w:num>
  <w:num w:numId="3">
    <w:abstractNumId w:val="4"/>
  </w:num>
  <w:num w:numId="4">
    <w:abstractNumId w:val="5"/>
  </w:num>
  <w:num w:numId="5">
    <w:abstractNumId w:val="3"/>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1FF638F"/>
    <w:rsid w:val="02016155"/>
    <w:rsid w:val="020F4070"/>
    <w:rsid w:val="021042F2"/>
    <w:rsid w:val="021A2C38"/>
    <w:rsid w:val="021A4578"/>
    <w:rsid w:val="021D2604"/>
    <w:rsid w:val="022533D4"/>
    <w:rsid w:val="02293A2A"/>
    <w:rsid w:val="022C6982"/>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A3CC1"/>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8D195A"/>
    <w:rsid w:val="04945913"/>
    <w:rsid w:val="049B40DC"/>
    <w:rsid w:val="049C6B92"/>
    <w:rsid w:val="04A128B3"/>
    <w:rsid w:val="04A3117E"/>
    <w:rsid w:val="04C6655F"/>
    <w:rsid w:val="04CD2C67"/>
    <w:rsid w:val="04CE3D21"/>
    <w:rsid w:val="04D66461"/>
    <w:rsid w:val="04D95F6F"/>
    <w:rsid w:val="04E06510"/>
    <w:rsid w:val="04ED23F9"/>
    <w:rsid w:val="04ED41A7"/>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1A7F"/>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4D13E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60F44"/>
    <w:rsid w:val="06BA7F49"/>
    <w:rsid w:val="06BB4F9D"/>
    <w:rsid w:val="06C72EBF"/>
    <w:rsid w:val="06C9247F"/>
    <w:rsid w:val="06CA43E9"/>
    <w:rsid w:val="06CD3A64"/>
    <w:rsid w:val="06CD47D4"/>
    <w:rsid w:val="06CF7A92"/>
    <w:rsid w:val="06DB688D"/>
    <w:rsid w:val="06DF7EFF"/>
    <w:rsid w:val="06E015C3"/>
    <w:rsid w:val="06E61D07"/>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173DB"/>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76735"/>
    <w:rsid w:val="097862A6"/>
    <w:rsid w:val="09793B17"/>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9F67759"/>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84BA4"/>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4EE0"/>
    <w:rsid w:val="0AA40CFE"/>
    <w:rsid w:val="0AA4164F"/>
    <w:rsid w:val="0AA45932"/>
    <w:rsid w:val="0AA50074"/>
    <w:rsid w:val="0AAB401F"/>
    <w:rsid w:val="0AB21F41"/>
    <w:rsid w:val="0AB329A9"/>
    <w:rsid w:val="0AB90AD0"/>
    <w:rsid w:val="0AB97D26"/>
    <w:rsid w:val="0ABA55D8"/>
    <w:rsid w:val="0ABC7E5E"/>
    <w:rsid w:val="0AC23AEF"/>
    <w:rsid w:val="0AC51838"/>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1F0E3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134AF"/>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4477A"/>
    <w:rsid w:val="0C185CAF"/>
    <w:rsid w:val="0C1B481E"/>
    <w:rsid w:val="0C1D0A79"/>
    <w:rsid w:val="0C281F6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77ABC"/>
    <w:rsid w:val="0EAA30A8"/>
    <w:rsid w:val="0EB11C1A"/>
    <w:rsid w:val="0EB34961"/>
    <w:rsid w:val="0EB775D4"/>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12B5C"/>
    <w:rsid w:val="0F824086"/>
    <w:rsid w:val="0F842AF1"/>
    <w:rsid w:val="0F871D69"/>
    <w:rsid w:val="0F8E6521"/>
    <w:rsid w:val="0F8F27CB"/>
    <w:rsid w:val="0F931DEF"/>
    <w:rsid w:val="0F955B67"/>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181855"/>
    <w:rsid w:val="10201287"/>
    <w:rsid w:val="1023666E"/>
    <w:rsid w:val="1024103C"/>
    <w:rsid w:val="1031492B"/>
    <w:rsid w:val="1035409F"/>
    <w:rsid w:val="1035503C"/>
    <w:rsid w:val="10367587"/>
    <w:rsid w:val="1037078D"/>
    <w:rsid w:val="103806C3"/>
    <w:rsid w:val="103A076E"/>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80EA0"/>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031DE"/>
    <w:rsid w:val="11B50817"/>
    <w:rsid w:val="11B52CFA"/>
    <w:rsid w:val="11B66269"/>
    <w:rsid w:val="11BA0839"/>
    <w:rsid w:val="11BE25B0"/>
    <w:rsid w:val="11C05F8A"/>
    <w:rsid w:val="11CA3974"/>
    <w:rsid w:val="11D96062"/>
    <w:rsid w:val="11DD7754"/>
    <w:rsid w:val="11E4369D"/>
    <w:rsid w:val="11EA6B41"/>
    <w:rsid w:val="11EE118C"/>
    <w:rsid w:val="11EE4F27"/>
    <w:rsid w:val="11F0307F"/>
    <w:rsid w:val="11F267E8"/>
    <w:rsid w:val="11F427FC"/>
    <w:rsid w:val="11F631BB"/>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75D67"/>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93BB8"/>
    <w:rsid w:val="140D5E1A"/>
    <w:rsid w:val="1410395F"/>
    <w:rsid w:val="141624C3"/>
    <w:rsid w:val="141B08A6"/>
    <w:rsid w:val="14220CA7"/>
    <w:rsid w:val="14257AC5"/>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447F8"/>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A7F80"/>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C5578"/>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2A2B"/>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577D0"/>
    <w:rsid w:val="17260A88"/>
    <w:rsid w:val="172B6CEB"/>
    <w:rsid w:val="172E31B3"/>
    <w:rsid w:val="17343071"/>
    <w:rsid w:val="17350245"/>
    <w:rsid w:val="17382580"/>
    <w:rsid w:val="17425826"/>
    <w:rsid w:val="174620E2"/>
    <w:rsid w:val="174662BC"/>
    <w:rsid w:val="174A2BD1"/>
    <w:rsid w:val="174D3983"/>
    <w:rsid w:val="17595246"/>
    <w:rsid w:val="175E4288"/>
    <w:rsid w:val="175F6489"/>
    <w:rsid w:val="17650A34"/>
    <w:rsid w:val="17652ACF"/>
    <w:rsid w:val="17667206"/>
    <w:rsid w:val="176C704A"/>
    <w:rsid w:val="177653C5"/>
    <w:rsid w:val="17781A92"/>
    <w:rsid w:val="17817CD8"/>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28D1"/>
    <w:rsid w:val="18307719"/>
    <w:rsid w:val="18331DAD"/>
    <w:rsid w:val="18397C4D"/>
    <w:rsid w:val="183E4121"/>
    <w:rsid w:val="183F3DA9"/>
    <w:rsid w:val="184068C1"/>
    <w:rsid w:val="18416527"/>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25A84"/>
    <w:rsid w:val="18C9246D"/>
    <w:rsid w:val="18CC589D"/>
    <w:rsid w:val="18CC75E7"/>
    <w:rsid w:val="18CF7D05"/>
    <w:rsid w:val="18D979C0"/>
    <w:rsid w:val="18DE1E44"/>
    <w:rsid w:val="18DE5861"/>
    <w:rsid w:val="18DF766E"/>
    <w:rsid w:val="18E63059"/>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E097B"/>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6682B"/>
    <w:rsid w:val="194A1ACB"/>
    <w:rsid w:val="194C1059"/>
    <w:rsid w:val="194C176F"/>
    <w:rsid w:val="19500DD6"/>
    <w:rsid w:val="19521210"/>
    <w:rsid w:val="19537076"/>
    <w:rsid w:val="19555B56"/>
    <w:rsid w:val="195621A4"/>
    <w:rsid w:val="19564B19"/>
    <w:rsid w:val="19580F8E"/>
    <w:rsid w:val="195E2D4F"/>
    <w:rsid w:val="195E346D"/>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14838"/>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E6C3E"/>
    <w:rsid w:val="1A1F1382"/>
    <w:rsid w:val="1A1F2BFD"/>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67D2F"/>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643AF"/>
    <w:rsid w:val="1B1F0398"/>
    <w:rsid w:val="1B1F30D9"/>
    <w:rsid w:val="1B223C37"/>
    <w:rsid w:val="1B2A7E36"/>
    <w:rsid w:val="1B2D2981"/>
    <w:rsid w:val="1B2F42C3"/>
    <w:rsid w:val="1B315167"/>
    <w:rsid w:val="1B324397"/>
    <w:rsid w:val="1B3319E3"/>
    <w:rsid w:val="1B372EB9"/>
    <w:rsid w:val="1B39636C"/>
    <w:rsid w:val="1B3C488F"/>
    <w:rsid w:val="1B40005E"/>
    <w:rsid w:val="1B4268B4"/>
    <w:rsid w:val="1B427936"/>
    <w:rsid w:val="1B5D3106"/>
    <w:rsid w:val="1B684130"/>
    <w:rsid w:val="1B73181B"/>
    <w:rsid w:val="1B7906CE"/>
    <w:rsid w:val="1B7A6C9A"/>
    <w:rsid w:val="1B7D07F3"/>
    <w:rsid w:val="1B831B2B"/>
    <w:rsid w:val="1B83626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243A7"/>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6600A"/>
    <w:rsid w:val="1D1779FF"/>
    <w:rsid w:val="1D1C33A3"/>
    <w:rsid w:val="1D1D6A68"/>
    <w:rsid w:val="1D1E58E3"/>
    <w:rsid w:val="1D1F1D0C"/>
    <w:rsid w:val="1D2054C4"/>
    <w:rsid w:val="1D24658B"/>
    <w:rsid w:val="1D2E77E8"/>
    <w:rsid w:val="1D3E3364"/>
    <w:rsid w:val="1D41310E"/>
    <w:rsid w:val="1D457CE9"/>
    <w:rsid w:val="1D4969F4"/>
    <w:rsid w:val="1D4C117F"/>
    <w:rsid w:val="1D4F5DC7"/>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B6A9E"/>
    <w:rsid w:val="1D9C5DA0"/>
    <w:rsid w:val="1D9C7126"/>
    <w:rsid w:val="1D9F462B"/>
    <w:rsid w:val="1DA0658B"/>
    <w:rsid w:val="1DA1442D"/>
    <w:rsid w:val="1DA265B5"/>
    <w:rsid w:val="1DAA72BB"/>
    <w:rsid w:val="1DAC0C4B"/>
    <w:rsid w:val="1DB26ED0"/>
    <w:rsid w:val="1DB835A9"/>
    <w:rsid w:val="1DC254A8"/>
    <w:rsid w:val="1DC603E1"/>
    <w:rsid w:val="1DE877AA"/>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24B11"/>
    <w:rsid w:val="1F280D38"/>
    <w:rsid w:val="1F303EA7"/>
    <w:rsid w:val="1F30637A"/>
    <w:rsid w:val="1F3111CE"/>
    <w:rsid w:val="1F323579"/>
    <w:rsid w:val="1F332153"/>
    <w:rsid w:val="1F3B22B0"/>
    <w:rsid w:val="1F3C6AF7"/>
    <w:rsid w:val="1F405E44"/>
    <w:rsid w:val="1F4315DA"/>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B0B66"/>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E6476"/>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213F3"/>
    <w:rsid w:val="20447B3E"/>
    <w:rsid w:val="204619A3"/>
    <w:rsid w:val="204D7AED"/>
    <w:rsid w:val="204F58BE"/>
    <w:rsid w:val="204F595B"/>
    <w:rsid w:val="20532924"/>
    <w:rsid w:val="2059498F"/>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70ABE"/>
    <w:rsid w:val="20AC38F6"/>
    <w:rsid w:val="20AC4ABE"/>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D33E6"/>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3F7841"/>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0F78"/>
    <w:rsid w:val="266B1FB8"/>
    <w:rsid w:val="266C4B1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0C73E3"/>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8B636C"/>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80261"/>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02FD3"/>
    <w:rsid w:val="2922455E"/>
    <w:rsid w:val="29233096"/>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4DE7"/>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61B11"/>
    <w:rsid w:val="2A49761F"/>
    <w:rsid w:val="2A4C74B8"/>
    <w:rsid w:val="2A4F133B"/>
    <w:rsid w:val="2A4F49D1"/>
    <w:rsid w:val="2A500712"/>
    <w:rsid w:val="2A54313A"/>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CF04B2"/>
    <w:rsid w:val="2CD17849"/>
    <w:rsid w:val="2CD47078"/>
    <w:rsid w:val="2CD535EF"/>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5C5CE9"/>
    <w:rsid w:val="2D621C05"/>
    <w:rsid w:val="2D63255D"/>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3F3CF3"/>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1F0B51"/>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06B6"/>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56B92"/>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67485"/>
    <w:rsid w:val="30A71AE3"/>
    <w:rsid w:val="30AE56DC"/>
    <w:rsid w:val="30B7307E"/>
    <w:rsid w:val="30BB5407"/>
    <w:rsid w:val="30BF034E"/>
    <w:rsid w:val="30C21A0E"/>
    <w:rsid w:val="30CE7850"/>
    <w:rsid w:val="30D43132"/>
    <w:rsid w:val="30DC45E8"/>
    <w:rsid w:val="30DD6027"/>
    <w:rsid w:val="30DE16AB"/>
    <w:rsid w:val="30E1221A"/>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32DE"/>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D9717D"/>
    <w:rsid w:val="31E302B9"/>
    <w:rsid w:val="31E83A8A"/>
    <w:rsid w:val="31F20023"/>
    <w:rsid w:val="31F31FF7"/>
    <w:rsid w:val="31F52FE4"/>
    <w:rsid w:val="31F536F7"/>
    <w:rsid w:val="31FA3C94"/>
    <w:rsid w:val="31FA7AEE"/>
    <w:rsid w:val="31FB60C5"/>
    <w:rsid w:val="32021A78"/>
    <w:rsid w:val="3209100C"/>
    <w:rsid w:val="32132BEF"/>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2FD27B6"/>
    <w:rsid w:val="330066D7"/>
    <w:rsid w:val="330244A4"/>
    <w:rsid w:val="3304026E"/>
    <w:rsid w:val="33066388"/>
    <w:rsid w:val="330F1E44"/>
    <w:rsid w:val="3311184B"/>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516FC"/>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953E5"/>
    <w:rsid w:val="34DB0CAC"/>
    <w:rsid w:val="34DD3DF9"/>
    <w:rsid w:val="34E972FC"/>
    <w:rsid w:val="34F83EF3"/>
    <w:rsid w:val="34F953E0"/>
    <w:rsid w:val="34FB3AF7"/>
    <w:rsid w:val="34FF2166"/>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3763E"/>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C2D57"/>
    <w:rsid w:val="38557E21"/>
    <w:rsid w:val="3856501D"/>
    <w:rsid w:val="3857135C"/>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34C9F"/>
    <w:rsid w:val="38D504F4"/>
    <w:rsid w:val="38D828C2"/>
    <w:rsid w:val="38D95A84"/>
    <w:rsid w:val="38E11AA1"/>
    <w:rsid w:val="38E45926"/>
    <w:rsid w:val="38E46191"/>
    <w:rsid w:val="38EB7945"/>
    <w:rsid w:val="38EC260C"/>
    <w:rsid w:val="38EF0DB7"/>
    <w:rsid w:val="38EF4451"/>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8A7587"/>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6128C"/>
    <w:rsid w:val="3A082ABE"/>
    <w:rsid w:val="3A0A6393"/>
    <w:rsid w:val="3A0E18F6"/>
    <w:rsid w:val="3A0E766B"/>
    <w:rsid w:val="3A117C25"/>
    <w:rsid w:val="3A181AC2"/>
    <w:rsid w:val="3A1A155D"/>
    <w:rsid w:val="3A1A5D0A"/>
    <w:rsid w:val="3A237175"/>
    <w:rsid w:val="3A264A9F"/>
    <w:rsid w:val="3A2B2AA6"/>
    <w:rsid w:val="3A2E67B0"/>
    <w:rsid w:val="3A3D5DAF"/>
    <w:rsid w:val="3A430DC5"/>
    <w:rsid w:val="3A443D4B"/>
    <w:rsid w:val="3A451DB4"/>
    <w:rsid w:val="3A4F22B9"/>
    <w:rsid w:val="3A543180"/>
    <w:rsid w:val="3A5C3925"/>
    <w:rsid w:val="3A616CAD"/>
    <w:rsid w:val="3A654A7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24FE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D02EA"/>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91103"/>
    <w:rsid w:val="3C6E7D4D"/>
    <w:rsid w:val="3C740DAA"/>
    <w:rsid w:val="3C750E34"/>
    <w:rsid w:val="3C7A7CE8"/>
    <w:rsid w:val="3C7C201D"/>
    <w:rsid w:val="3C7E65EC"/>
    <w:rsid w:val="3C812838"/>
    <w:rsid w:val="3C826AA5"/>
    <w:rsid w:val="3C8445F3"/>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55282"/>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75BF2"/>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FB0"/>
    <w:rsid w:val="3E680BF1"/>
    <w:rsid w:val="3E6953E3"/>
    <w:rsid w:val="3E744A86"/>
    <w:rsid w:val="3E771D2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107F4"/>
    <w:rsid w:val="3EE14A57"/>
    <w:rsid w:val="3EE21263"/>
    <w:rsid w:val="3EF36AD8"/>
    <w:rsid w:val="3EF53397"/>
    <w:rsid w:val="3EF535E4"/>
    <w:rsid w:val="3EF62480"/>
    <w:rsid w:val="3EFB57DC"/>
    <w:rsid w:val="3EFE55C6"/>
    <w:rsid w:val="3F052CF0"/>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1510"/>
    <w:rsid w:val="3F673021"/>
    <w:rsid w:val="3F6B3632"/>
    <w:rsid w:val="3F742249"/>
    <w:rsid w:val="3F75355D"/>
    <w:rsid w:val="3F776E0A"/>
    <w:rsid w:val="3F8978E2"/>
    <w:rsid w:val="3F8A350A"/>
    <w:rsid w:val="3F8D5BDC"/>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6116F"/>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A69A0"/>
    <w:rsid w:val="41AB3AB1"/>
    <w:rsid w:val="41AC6BA3"/>
    <w:rsid w:val="41AD5F07"/>
    <w:rsid w:val="41B730A3"/>
    <w:rsid w:val="41B737E0"/>
    <w:rsid w:val="41B77B6D"/>
    <w:rsid w:val="41BA081E"/>
    <w:rsid w:val="41BB2BB0"/>
    <w:rsid w:val="41BD33FC"/>
    <w:rsid w:val="41C20F3F"/>
    <w:rsid w:val="41C932CA"/>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060A"/>
    <w:rsid w:val="42697E79"/>
    <w:rsid w:val="426D1D88"/>
    <w:rsid w:val="426E536F"/>
    <w:rsid w:val="427034C5"/>
    <w:rsid w:val="42730E0D"/>
    <w:rsid w:val="427409B9"/>
    <w:rsid w:val="427A2817"/>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41CE4"/>
    <w:rsid w:val="42C5796D"/>
    <w:rsid w:val="42CA4EB2"/>
    <w:rsid w:val="42CB3072"/>
    <w:rsid w:val="42D02E55"/>
    <w:rsid w:val="42D216FF"/>
    <w:rsid w:val="42D420EA"/>
    <w:rsid w:val="42D67001"/>
    <w:rsid w:val="42DB688C"/>
    <w:rsid w:val="42E06A10"/>
    <w:rsid w:val="42EF51EC"/>
    <w:rsid w:val="42F46A4C"/>
    <w:rsid w:val="42F503E1"/>
    <w:rsid w:val="42F511BA"/>
    <w:rsid w:val="42F875D5"/>
    <w:rsid w:val="42FF3A37"/>
    <w:rsid w:val="43073BEF"/>
    <w:rsid w:val="430A5FFD"/>
    <w:rsid w:val="43112BE5"/>
    <w:rsid w:val="43120C73"/>
    <w:rsid w:val="431A1904"/>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A01AB"/>
    <w:rsid w:val="43FC0DB2"/>
    <w:rsid w:val="43FC24CA"/>
    <w:rsid w:val="44000AF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45F67"/>
    <w:rsid w:val="44E54BDC"/>
    <w:rsid w:val="44E92DF3"/>
    <w:rsid w:val="44F82D0E"/>
    <w:rsid w:val="44FF7037"/>
    <w:rsid w:val="45004D64"/>
    <w:rsid w:val="450174D5"/>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96108"/>
    <w:rsid w:val="459B634C"/>
    <w:rsid w:val="459D445E"/>
    <w:rsid w:val="459F2381"/>
    <w:rsid w:val="45A1053A"/>
    <w:rsid w:val="45A11196"/>
    <w:rsid w:val="45A47990"/>
    <w:rsid w:val="45A60E44"/>
    <w:rsid w:val="45A74FA6"/>
    <w:rsid w:val="45AA0217"/>
    <w:rsid w:val="45B275E1"/>
    <w:rsid w:val="45B315CE"/>
    <w:rsid w:val="45B5611D"/>
    <w:rsid w:val="45B64B84"/>
    <w:rsid w:val="45BA6033"/>
    <w:rsid w:val="45C85EA2"/>
    <w:rsid w:val="45D9022E"/>
    <w:rsid w:val="45DA6450"/>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93AC7"/>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30F77"/>
    <w:rsid w:val="47457188"/>
    <w:rsid w:val="474A7769"/>
    <w:rsid w:val="474F3AFA"/>
    <w:rsid w:val="47502F2C"/>
    <w:rsid w:val="47505EC1"/>
    <w:rsid w:val="47561DDC"/>
    <w:rsid w:val="47592D4E"/>
    <w:rsid w:val="475C780A"/>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A2C79"/>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7E2EF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94EFD"/>
    <w:rsid w:val="4A1F7925"/>
    <w:rsid w:val="4A2322DF"/>
    <w:rsid w:val="4A2E7749"/>
    <w:rsid w:val="4A316272"/>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C13AE"/>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07F1"/>
    <w:rsid w:val="4BE819D0"/>
    <w:rsid w:val="4BE8649D"/>
    <w:rsid w:val="4BFC6FFD"/>
    <w:rsid w:val="4BFC7D04"/>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2D4456"/>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AC5FD9"/>
    <w:rsid w:val="4CB3742C"/>
    <w:rsid w:val="4CB50036"/>
    <w:rsid w:val="4CB63E1D"/>
    <w:rsid w:val="4CBB546E"/>
    <w:rsid w:val="4CC17C3E"/>
    <w:rsid w:val="4CC25B41"/>
    <w:rsid w:val="4CC42462"/>
    <w:rsid w:val="4CC42E37"/>
    <w:rsid w:val="4CC82CB8"/>
    <w:rsid w:val="4CC91343"/>
    <w:rsid w:val="4CCB369E"/>
    <w:rsid w:val="4CCB7596"/>
    <w:rsid w:val="4CCC1EC1"/>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27652"/>
    <w:rsid w:val="4D551492"/>
    <w:rsid w:val="4D5646C6"/>
    <w:rsid w:val="4D570519"/>
    <w:rsid w:val="4D5A2B9C"/>
    <w:rsid w:val="4D5C5732"/>
    <w:rsid w:val="4D5F2D35"/>
    <w:rsid w:val="4D601BF0"/>
    <w:rsid w:val="4D656800"/>
    <w:rsid w:val="4D6C4B60"/>
    <w:rsid w:val="4D6D0CFF"/>
    <w:rsid w:val="4D705706"/>
    <w:rsid w:val="4D7220A0"/>
    <w:rsid w:val="4D722EC4"/>
    <w:rsid w:val="4D76173E"/>
    <w:rsid w:val="4D795468"/>
    <w:rsid w:val="4D8814DC"/>
    <w:rsid w:val="4D8A58C0"/>
    <w:rsid w:val="4D8C494F"/>
    <w:rsid w:val="4D8D11C1"/>
    <w:rsid w:val="4D913772"/>
    <w:rsid w:val="4D922BF5"/>
    <w:rsid w:val="4D9B5A29"/>
    <w:rsid w:val="4DA16EA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BA2E44"/>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87F0D"/>
    <w:rsid w:val="4F2C365D"/>
    <w:rsid w:val="4F36758C"/>
    <w:rsid w:val="4F376D93"/>
    <w:rsid w:val="4F3957DF"/>
    <w:rsid w:val="4F3D4163"/>
    <w:rsid w:val="4F4E7DA7"/>
    <w:rsid w:val="4F50208E"/>
    <w:rsid w:val="4F560A53"/>
    <w:rsid w:val="4F611147"/>
    <w:rsid w:val="4F637BB8"/>
    <w:rsid w:val="4F64562E"/>
    <w:rsid w:val="4F6909C9"/>
    <w:rsid w:val="4F6E6F86"/>
    <w:rsid w:val="4F7278C6"/>
    <w:rsid w:val="4F764CC2"/>
    <w:rsid w:val="4F7E1BFB"/>
    <w:rsid w:val="4F823D55"/>
    <w:rsid w:val="4F85034E"/>
    <w:rsid w:val="4F8F1DA0"/>
    <w:rsid w:val="4F9000F4"/>
    <w:rsid w:val="4F983E33"/>
    <w:rsid w:val="4F9A0268"/>
    <w:rsid w:val="4F9B5328"/>
    <w:rsid w:val="4F9B61D7"/>
    <w:rsid w:val="4F9E486B"/>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06558"/>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12A4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A283A"/>
    <w:rsid w:val="53D03945"/>
    <w:rsid w:val="53D153F9"/>
    <w:rsid w:val="53DB35A3"/>
    <w:rsid w:val="53DC2808"/>
    <w:rsid w:val="53DD2CA6"/>
    <w:rsid w:val="53DE4BEA"/>
    <w:rsid w:val="53DF54A9"/>
    <w:rsid w:val="53E07B00"/>
    <w:rsid w:val="53E27BE1"/>
    <w:rsid w:val="53EC3D29"/>
    <w:rsid w:val="53ED1E1D"/>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70EEF"/>
    <w:rsid w:val="54DF688B"/>
    <w:rsid w:val="54E85E2E"/>
    <w:rsid w:val="54E95643"/>
    <w:rsid w:val="54EB72D4"/>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DE7FD1"/>
    <w:rsid w:val="55E31A15"/>
    <w:rsid w:val="55E4515A"/>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519F2"/>
    <w:rsid w:val="56373380"/>
    <w:rsid w:val="563B616D"/>
    <w:rsid w:val="56433C1D"/>
    <w:rsid w:val="56436207"/>
    <w:rsid w:val="56456373"/>
    <w:rsid w:val="5655420D"/>
    <w:rsid w:val="565B61BB"/>
    <w:rsid w:val="565D5FB6"/>
    <w:rsid w:val="566510CB"/>
    <w:rsid w:val="56676126"/>
    <w:rsid w:val="56693BCD"/>
    <w:rsid w:val="567215D4"/>
    <w:rsid w:val="56793BB2"/>
    <w:rsid w:val="56797DE1"/>
    <w:rsid w:val="567A6CC0"/>
    <w:rsid w:val="567B14A9"/>
    <w:rsid w:val="567E4F7B"/>
    <w:rsid w:val="56840A2D"/>
    <w:rsid w:val="568D0940"/>
    <w:rsid w:val="568F4B6E"/>
    <w:rsid w:val="56902B88"/>
    <w:rsid w:val="56927DA4"/>
    <w:rsid w:val="56A032E3"/>
    <w:rsid w:val="56A04928"/>
    <w:rsid w:val="56A417B8"/>
    <w:rsid w:val="56A418DC"/>
    <w:rsid w:val="56A50EBB"/>
    <w:rsid w:val="56A83AE3"/>
    <w:rsid w:val="56AB6535"/>
    <w:rsid w:val="56AD02E2"/>
    <w:rsid w:val="56AD339E"/>
    <w:rsid w:val="56AE2AEE"/>
    <w:rsid w:val="56AF1680"/>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2015"/>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CB127E"/>
    <w:rsid w:val="58D720A4"/>
    <w:rsid w:val="58DB456A"/>
    <w:rsid w:val="58E56245"/>
    <w:rsid w:val="58E909DD"/>
    <w:rsid w:val="58EB1C90"/>
    <w:rsid w:val="58EE536D"/>
    <w:rsid w:val="58F57D12"/>
    <w:rsid w:val="58F85EFA"/>
    <w:rsid w:val="59094784"/>
    <w:rsid w:val="590D2D27"/>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7D5692"/>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7710B"/>
    <w:rsid w:val="59FC2EE5"/>
    <w:rsid w:val="59FE191D"/>
    <w:rsid w:val="59FF2F18"/>
    <w:rsid w:val="5A011459"/>
    <w:rsid w:val="5A0407DD"/>
    <w:rsid w:val="5A05470A"/>
    <w:rsid w:val="5A0640DE"/>
    <w:rsid w:val="5A1156D2"/>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0156C"/>
    <w:rsid w:val="5A921A04"/>
    <w:rsid w:val="5A99558C"/>
    <w:rsid w:val="5A9A0A66"/>
    <w:rsid w:val="5AA541CF"/>
    <w:rsid w:val="5AAF48E4"/>
    <w:rsid w:val="5AB37B5F"/>
    <w:rsid w:val="5AB96041"/>
    <w:rsid w:val="5ABC4831"/>
    <w:rsid w:val="5ABC6BFA"/>
    <w:rsid w:val="5ABF01E8"/>
    <w:rsid w:val="5ABF7466"/>
    <w:rsid w:val="5AC05747"/>
    <w:rsid w:val="5AC24903"/>
    <w:rsid w:val="5AC366EB"/>
    <w:rsid w:val="5AC43AE0"/>
    <w:rsid w:val="5AC4427C"/>
    <w:rsid w:val="5AC73FC9"/>
    <w:rsid w:val="5AC76ACB"/>
    <w:rsid w:val="5ACE75C5"/>
    <w:rsid w:val="5AD054B7"/>
    <w:rsid w:val="5AD149C0"/>
    <w:rsid w:val="5AD20D04"/>
    <w:rsid w:val="5AD510F0"/>
    <w:rsid w:val="5AD822B6"/>
    <w:rsid w:val="5AD86DAA"/>
    <w:rsid w:val="5AEB5C08"/>
    <w:rsid w:val="5AF341EB"/>
    <w:rsid w:val="5AF405C5"/>
    <w:rsid w:val="5AF535B6"/>
    <w:rsid w:val="5AF82FCA"/>
    <w:rsid w:val="5AF8657A"/>
    <w:rsid w:val="5AFA42E0"/>
    <w:rsid w:val="5AFE5C3F"/>
    <w:rsid w:val="5AFF4835"/>
    <w:rsid w:val="5B000850"/>
    <w:rsid w:val="5B0C6EB5"/>
    <w:rsid w:val="5B152C30"/>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B48F9"/>
    <w:rsid w:val="5B4C3725"/>
    <w:rsid w:val="5B5249DF"/>
    <w:rsid w:val="5B532679"/>
    <w:rsid w:val="5B540662"/>
    <w:rsid w:val="5B570BDE"/>
    <w:rsid w:val="5B573C01"/>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4188A"/>
    <w:rsid w:val="5C5643AB"/>
    <w:rsid w:val="5C5E033F"/>
    <w:rsid w:val="5C6875EE"/>
    <w:rsid w:val="5C6A6FAE"/>
    <w:rsid w:val="5C6B21CA"/>
    <w:rsid w:val="5C6F12DC"/>
    <w:rsid w:val="5C7A2919"/>
    <w:rsid w:val="5C82695D"/>
    <w:rsid w:val="5C84202F"/>
    <w:rsid w:val="5C8F19C2"/>
    <w:rsid w:val="5C9A6016"/>
    <w:rsid w:val="5C9E3AD9"/>
    <w:rsid w:val="5CA57043"/>
    <w:rsid w:val="5CB157B0"/>
    <w:rsid w:val="5CB97A26"/>
    <w:rsid w:val="5CBF4297"/>
    <w:rsid w:val="5CC43404"/>
    <w:rsid w:val="5CC55041"/>
    <w:rsid w:val="5CC93DAE"/>
    <w:rsid w:val="5CCF7073"/>
    <w:rsid w:val="5CD31EE3"/>
    <w:rsid w:val="5CE03F3E"/>
    <w:rsid w:val="5CE1654F"/>
    <w:rsid w:val="5CE47CF9"/>
    <w:rsid w:val="5CEB1D70"/>
    <w:rsid w:val="5CF45558"/>
    <w:rsid w:val="5CF54B1C"/>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97324"/>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A0137"/>
    <w:rsid w:val="5EBF0B71"/>
    <w:rsid w:val="5EC37A1E"/>
    <w:rsid w:val="5EC94A60"/>
    <w:rsid w:val="5ECA23D8"/>
    <w:rsid w:val="5ECE796D"/>
    <w:rsid w:val="5ED95EEE"/>
    <w:rsid w:val="5EE47C66"/>
    <w:rsid w:val="5EE5503B"/>
    <w:rsid w:val="5EE55DDE"/>
    <w:rsid w:val="5EE71334"/>
    <w:rsid w:val="5EF04AC4"/>
    <w:rsid w:val="5EF47473"/>
    <w:rsid w:val="5EF57055"/>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CE28E5"/>
    <w:rsid w:val="5FD20829"/>
    <w:rsid w:val="5FD526EA"/>
    <w:rsid w:val="5FDA515F"/>
    <w:rsid w:val="5FE73834"/>
    <w:rsid w:val="5FEB0680"/>
    <w:rsid w:val="5FEB453B"/>
    <w:rsid w:val="5FF744A9"/>
    <w:rsid w:val="5FF76947"/>
    <w:rsid w:val="5FFB17C7"/>
    <w:rsid w:val="5FFE6C22"/>
    <w:rsid w:val="60000309"/>
    <w:rsid w:val="6007630E"/>
    <w:rsid w:val="600B6B90"/>
    <w:rsid w:val="600C3224"/>
    <w:rsid w:val="600D78DD"/>
    <w:rsid w:val="600F6605"/>
    <w:rsid w:val="60143AD3"/>
    <w:rsid w:val="60281FCD"/>
    <w:rsid w:val="602876AC"/>
    <w:rsid w:val="602D6A03"/>
    <w:rsid w:val="603215F4"/>
    <w:rsid w:val="603771DA"/>
    <w:rsid w:val="603A1B77"/>
    <w:rsid w:val="603F5483"/>
    <w:rsid w:val="60447E31"/>
    <w:rsid w:val="604C5236"/>
    <w:rsid w:val="605006BC"/>
    <w:rsid w:val="6058391A"/>
    <w:rsid w:val="60584E5C"/>
    <w:rsid w:val="606162D0"/>
    <w:rsid w:val="60674769"/>
    <w:rsid w:val="606E2944"/>
    <w:rsid w:val="606E5B6C"/>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C1A7E"/>
    <w:rsid w:val="62920187"/>
    <w:rsid w:val="6295194F"/>
    <w:rsid w:val="6299295E"/>
    <w:rsid w:val="629A07BC"/>
    <w:rsid w:val="629D1EDE"/>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117BD"/>
    <w:rsid w:val="647C7BEB"/>
    <w:rsid w:val="64814078"/>
    <w:rsid w:val="6483791E"/>
    <w:rsid w:val="648B777B"/>
    <w:rsid w:val="64937D17"/>
    <w:rsid w:val="6494650D"/>
    <w:rsid w:val="64984C13"/>
    <w:rsid w:val="649A6134"/>
    <w:rsid w:val="649D2569"/>
    <w:rsid w:val="64A137DB"/>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0B0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86A82"/>
    <w:rsid w:val="659C17EE"/>
    <w:rsid w:val="659C2241"/>
    <w:rsid w:val="65A65E7D"/>
    <w:rsid w:val="65AA2B3B"/>
    <w:rsid w:val="65B408AD"/>
    <w:rsid w:val="65BC6E17"/>
    <w:rsid w:val="65BD3777"/>
    <w:rsid w:val="65BE2C69"/>
    <w:rsid w:val="65BE5ECC"/>
    <w:rsid w:val="65C4177D"/>
    <w:rsid w:val="65D43869"/>
    <w:rsid w:val="65D52E5A"/>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9E0CC4"/>
    <w:rsid w:val="66A27600"/>
    <w:rsid w:val="66A56CDB"/>
    <w:rsid w:val="66AC1D02"/>
    <w:rsid w:val="66AD65FC"/>
    <w:rsid w:val="66AD7F89"/>
    <w:rsid w:val="66AE57BC"/>
    <w:rsid w:val="66B81454"/>
    <w:rsid w:val="66BE1292"/>
    <w:rsid w:val="66BF76F1"/>
    <w:rsid w:val="66C72F6F"/>
    <w:rsid w:val="66CB3835"/>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229B1"/>
    <w:rsid w:val="6726232E"/>
    <w:rsid w:val="672A4901"/>
    <w:rsid w:val="672E50FE"/>
    <w:rsid w:val="67331724"/>
    <w:rsid w:val="6733491A"/>
    <w:rsid w:val="673360E2"/>
    <w:rsid w:val="6734158E"/>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D0FCE"/>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580F9F"/>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9F256B"/>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B4D56"/>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A24D7"/>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EE72AA"/>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96D1B"/>
    <w:rsid w:val="6E2A0DD8"/>
    <w:rsid w:val="6E2E7B73"/>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D8655C"/>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94F08"/>
    <w:rsid w:val="6F7A0C79"/>
    <w:rsid w:val="6F7E1B78"/>
    <w:rsid w:val="6F967ACA"/>
    <w:rsid w:val="6F9844E4"/>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20D61"/>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35DC"/>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43DE2"/>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E3782"/>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3E56"/>
    <w:rsid w:val="75A53BC6"/>
    <w:rsid w:val="75A979E8"/>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ED15DE"/>
    <w:rsid w:val="75F75D00"/>
    <w:rsid w:val="75F8074C"/>
    <w:rsid w:val="75FD0222"/>
    <w:rsid w:val="7600209C"/>
    <w:rsid w:val="760049B0"/>
    <w:rsid w:val="760200DC"/>
    <w:rsid w:val="760218FE"/>
    <w:rsid w:val="76070A73"/>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468B"/>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6D5A56"/>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283"/>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000F5"/>
    <w:rsid w:val="7AF91DAF"/>
    <w:rsid w:val="7AF9607E"/>
    <w:rsid w:val="7AFD3DF7"/>
    <w:rsid w:val="7B007056"/>
    <w:rsid w:val="7B0072B4"/>
    <w:rsid w:val="7B0211AC"/>
    <w:rsid w:val="7B0C08EF"/>
    <w:rsid w:val="7B18546A"/>
    <w:rsid w:val="7B1B467F"/>
    <w:rsid w:val="7B1E73DE"/>
    <w:rsid w:val="7B1F59AA"/>
    <w:rsid w:val="7B214978"/>
    <w:rsid w:val="7B391012"/>
    <w:rsid w:val="7B394905"/>
    <w:rsid w:val="7B3E674E"/>
    <w:rsid w:val="7B471906"/>
    <w:rsid w:val="7B4A5781"/>
    <w:rsid w:val="7B4B783F"/>
    <w:rsid w:val="7B4C03D4"/>
    <w:rsid w:val="7B4E09BF"/>
    <w:rsid w:val="7B546C0C"/>
    <w:rsid w:val="7B597D37"/>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C0DCF"/>
    <w:rsid w:val="7DAF4AB4"/>
    <w:rsid w:val="7DB0182A"/>
    <w:rsid w:val="7DBE609A"/>
    <w:rsid w:val="7DBF2E7A"/>
    <w:rsid w:val="7DBF4FA6"/>
    <w:rsid w:val="7DC266E0"/>
    <w:rsid w:val="7DC4279D"/>
    <w:rsid w:val="7DCA054D"/>
    <w:rsid w:val="7DCC7A63"/>
    <w:rsid w:val="7DD74D60"/>
    <w:rsid w:val="7DD7657D"/>
    <w:rsid w:val="7DD81BC4"/>
    <w:rsid w:val="7DDA6C39"/>
    <w:rsid w:val="7DE15552"/>
    <w:rsid w:val="7DE16744"/>
    <w:rsid w:val="7DE653AB"/>
    <w:rsid w:val="7DE71438"/>
    <w:rsid w:val="7DEB2C44"/>
    <w:rsid w:val="7DED0633"/>
    <w:rsid w:val="7DF464FC"/>
    <w:rsid w:val="7DFB573F"/>
    <w:rsid w:val="7DFE63E1"/>
    <w:rsid w:val="7E006A11"/>
    <w:rsid w:val="7E040A9A"/>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CE7D0D"/>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62761"/>
    <w:rsid w:val="7F0715DA"/>
    <w:rsid w:val="7F085E6E"/>
    <w:rsid w:val="7F090A0E"/>
    <w:rsid w:val="7F0A70E2"/>
    <w:rsid w:val="7F0C0396"/>
    <w:rsid w:val="7F0F0634"/>
    <w:rsid w:val="7F111CB1"/>
    <w:rsid w:val="7F11316C"/>
    <w:rsid w:val="7F160CCE"/>
    <w:rsid w:val="7F18438A"/>
    <w:rsid w:val="7F233D48"/>
    <w:rsid w:val="7F25554C"/>
    <w:rsid w:val="7F2618F3"/>
    <w:rsid w:val="7F314300"/>
    <w:rsid w:val="7F340461"/>
    <w:rsid w:val="7F35713F"/>
    <w:rsid w:val="7F3757D3"/>
    <w:rsid w:val="7F3A2780"/>
    <w:rsid w:val="7F3A44DE"/>
    <w:rsid w:val="7F3A7611"/>
    <w:rsid w:val="7F3B01C9"/>
    <w:rsid w:val="7F4A17F6"/>
    <w:rsid w:val="7F4D7FF2"/>
    <w:rsid w:val="7F5056C5"/>
    <w:rsid w:val="7F536DE1"/>
    <w:rsid w:val="7F6128F4"/>
    <w:rsid w:val="7F6339F7"/>
    <w:rsid w:val="7F6E10C2"/>
    <w:rsid w:val="7F7E49B6"/>
    <w:rsid w:val="7F8122AD"/>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e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15</Pages>
  <Words>786</Words>
  <Characters>4153</Characters>
  <Lines>130</Lines>
  <Paragraphs>36</Paragraphs>
  <TotalTime>0</TotalTime>
  <ScaleCrop>false</ScaleCrop>
  <LinksUpToDate>false</LinksUpToDate>
  <CharactersWithSpaces>4962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2025-10-03T15:01:16Z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